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2" w:rsidRPr="008E31E2" w:rsidRDefault="008E31E2" w:rsidP="008E31E2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С-5922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30/11/2018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8E31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30/11/2018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8E31E2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00638-2018-0015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8E31E2" w:rsidRPr="008E31E2" w:rsidRDefault="008E31E2" w:rsidP="008E31E2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8E31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8E31E2" w:rsidRPr="008E31E2" w:rsidRDefault="008E31E2" w:rsidP="008E31E2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8E31E2" w:rsidRPr="008E31E2" w:rsidTr="008E31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8E31E2" w:rsidRPr="008E31E2" w:rsidTr="008E31E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пл. Шейновски №3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8E31E2" w:rsidRPr="008E31E2" w:rsidTr="008E31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8E31E2" w:rsidRPr="008E31E2" w:rsidTr="008E31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8E31E2" w:rsidRPr="008E31E2" w:rsidTr="008E31E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8E31E2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</w:t>
              </w:r>
            </w:hyperlink>
          </w:p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8E31E2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8E31E2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http://www.simeonovgrad.bg/</w:t>
                    </w:r>
                  </w:hyperlink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2"/>
        <w:gridCol w:w="1824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„Изпълнение на строително – монтажни работи на обект: „Реконструкция и рехабилитация на участък от ул.“Йордан Йовков“ от о.т.146 до о.т.147 гр.Симеоновград”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Предметът на поръчката обхваща строително-монтажни работи, свързани с рехабилитация и реконструкция на уличната мрежа, тротоари и съоръжения към тях . Обхватът на поръчката включва следната улица: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ул. .“Йордан Йовков“ от о.т.146 до о.т.147-180 л.м.</w:t>
            </w: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90887.50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8E31E2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7"/>
              <w:gridCol w:w="11253"/>
            </w:tblGrid>
            <w:tr w:rsidR="008E31E2" w:rsidRPr="008E31E2" w:rsidTr="008E31E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Република България, община Симеоновград,гр.Симеоновград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1. Предметът на поръчката обхваща строително-монтажни работи, свързани с рехабилитация и реконструкция на уличната мрежа, тротоари и съоръжения към тях . Обхватът на поръчката включва следната улица в гр.Симеоновград: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 .“Йордан Йовков“ от о.т.146 до о.т.147-180 л.м.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2.Общата прогнозната стойност на обществената поръчка е 90887.50(деветдесет хиляди осемстотин осемдесет и седем лева и 50ст.) лева без ДДС от които: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2.1.)Изпълнение на строително – монтажни работи – 82625.00 лева без ДДС в това число: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За реконструкция и рехабилитация на улична мрежа – 36625.00 лева без ДДС;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За реконструкция на тротоарни настилки – 46000.00 лева без ДДС;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2.2.)Непредвидени </w:t>
                  </w:r>
                  <w:proofErr w:type="spellStart"/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раходи</w:t>
                  </w:r>
                  <w:proofErr w:type="spellEnd"/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в размер на 10 % – 8262.50 лева без ДДС.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3. Възложителят, ще заплати до 10 % (десет на сто) непредвидени разходи за СМР, включени в ценовата оферта на изпълнителя, при изпълнение на поръчката, след доказаната им необходимост, направено одобрение и съответните </w:t>
                  </w:r>
                  <w:proofErr w:type="spellStart"/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доказателствени</w:t>
                  </w:r>
                  <w:proofErr w:type="spellEnd"/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документи за извършването им и след направено изменение на договора при условията на чл.116 от ЗОП.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929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8E31E2" w:rsidRPr="008E31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E31E2" w:rsidRPr="008E31E2" w:rsidRDefault="008E31E2" w:rsidP="008E31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485"/>
                          <w:gridCol w:w="8188"/>
                        </w:tblGrid>
                        <w:tr w:rsidR="008E31E2" w:rsidRPr="008E31E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E31E2" w:rsidRPr="008E31E2" w:rsidRDefault="008E31E2" w:rsidP="008E31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E31E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E31E2" w:rsidRPr="008E31E2" w:rsidRDefault="008E31E2" w:rsidP="008E31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8E31E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Техническо предложение за изпълнение на поръчката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8E31E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  <w:tr w:rsidR="008E31E2" w:rsidRPr="008E31E2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05"/>
                              </w:tblGrid>
                              <w:tr w:rsidR="008E31E2" w:rsidRPr="008E31E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8E31E2" w:rsidRPr="008E31E2" w:rsidRDefault="008E31E2" w:rsidP="008E31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8E31E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8E31E2" w:rsidRPr="008E31E2" w:rsidRDefault="008E31E2" w:rsidP="008E31E2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E31E2" w:rsidRPr="008E31E2" w:rsidRDefault="008E31E2" w:rsidP="008E31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Тежест: 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21</w:t>
                              </w: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8E31E2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90887.50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дни: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 xml:space="preserve">II.2.9) Информация относно ограничение за броя на </w:t>
                  </w:r>
                  <w:proofErr w:type="spellStart"/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Обективни критерии за избор на ограничен брой </w:t>
                  </w:r>
                  <w:proofErr w:type="spellStart"/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II.2.10) Информация относно вариантите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E31E2" w:rsidRPr="008E31E2" w:rsidT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Обществената поръчка ще се финансира с целеви средства от републиканския бюджет, предоставени за разходване от ВЪЗЛОЖИТЕЛЯ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трябва да е вписан в Централния професионален регистър на строителя, за изпълнение на строежи втора група, четвърта категория, съгласно Правилника за реда за вписване и водене на Централния професионален регистър на строителя, а ако е чуждестранно физическо или юридическо лице, същото да има право (съгласно националното му законодателство и при условията на взаимно признаване) да изпълни предмета на поръчката.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ДОКАЗВАНЕ: При подаване на офертата участникът декларира съответствие с изискването, като посочва в Част IV, раздел А, т. 1) от ЕЕДОП групата и категорията на строителните обекти, за които е вписан в Централния професионален регистър на строителя, както и номера на Удостоверението за вписване и дата на валидност, а за чуждестранни лица аналогична информация за съответен еквивалентен документ удостоверяващ правото на съответното лице (съгласно националното му законодателство) да изпълни предмета на поръчката.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условията </w:t>
            </w:r>
            <w:proofErr w:type="spellStart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начл</w:t>
            </w:r>
            <w:proofErr w:type="spellEnd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. 67, ал. 5 от ЗОП възложителят може да изиска документи, чрез които се доказва декларираната в ЕЕДОП информация - копие на валидно удостоверение за вписване в Централния професионален регистър на строителя или еквивалентен документ за чуждестранните участници, удостоверяващ правото на съответното лице (съгласно националното му законодателство) да изпълни предмета на поръчката.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6 от ЗОП,преди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 В случай че определения изпълнител е чуждестранен участник, той трябва да представи документ, с който да докаже, че има право да изпълнява възлаганата дейност в Република България, вкл. че е извършил регистрация в Централния професионален регистър на строителя (ЦПРС) за строежи от съответната група и категория.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всяко от лицата, включени в обединението, които ще изпълняват строителни дейности, съобразно разпределението на участието на лицата при изпълнение на дейностите, предвидено в договора за създаване на обединение.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III.1.2) Икономическо и финансово състояние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1. При подаване на офертата участникът декларира съответствие с поставеното изискване по т.1, като попълва част IV, раздел Б, т.2a) от ЕЕДОП.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от ЗОП възложителят може да изиска документи, чрез които се доказва декларираната в ЕЕДОП информация: Справка за оборота от строително- монтажни работи за последните 3 (три) приключили финансови години, в зависимост от датата на която участникът е учреден или е започнал дейността си.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обединението участник като цяло.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2. При подаване на офертата участникът декларира съответствие с поставеното изискване по т.2, като попълва в част IV, раздел Б, т.5) от ЕЕДОП, като посочи застрахователната сума 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на сключената застраховка „Професионална отговорност“, както и номер и валидност на същата.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от ЗОП възложителят може да изиска документи, чрез които се доказва декларираната в ЕЕДОП информация - копие на документи доказващ наличие на застраховка “Професионална отговорност”.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всяко от лицата, включени в обединението, които ще изпълняват строителни дейности, съобразно разпределението на участието на лицата при изпълнение на дейностите, предвидено в договора за създаване на обединение.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Забележка: Когато по основателна причина участник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Участникът трябва да е реализирал оборот от строително-монтажни работи, през последните 3 (три) приключили финансови години в зависимост от датата, на която участникът е създаден или е започнал дейността си, в размер не по-малък от прогнозната стойност на обществената поръчка. За участник – чуждестранно лице оборотът се изчислява по официалния курс на БНБ за съответната валута в лева към датата на подаване на офертата.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2. Участникът трябва да има валидна застраховка „Професионална отговорност в строителството” съгласно чл. 171, ал. 1 от ЗУТ с минимална застрахователна сума, съгласно чл. 5, ал. 2 от Наредбата за условията и реда за задължително застраховане в проектирането и строителство за категорията строителство, съобразно строежа – предмет на поръчката или еквивалентна за участник – чуждестранно лице съгласно законодателство на държавата в която е установен.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III.1.3) Технически и професионални възможности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1. При подаване на офертата участникът декларира съответствие с поставеното изискване по т.1, чрез попълване на Част IV, раздел В, т. 1а) от ЕЕДОП като предостави и информация за стойността, датата, на която е приключило изпълнението, мястото, вида и обема на строителството.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от ЗОП възложителят може да изиска документи, чрез които се доказва декларираната в ЕЕДОП информация - Списък на строителството, идентично или сходно с предмета на поръчката, изпълнено през последните 5 години, считано от датата на подаване на офертите с приложени към него копия на удостоверения за добро изпълнение на посоченото строителство, които да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обединението участник като цяло.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2. При подаване на офертата участникът декларира съответствие с поставеното изискване по т.2 чрез представяне на ЕЕДОП, като посочи информация за специалистите, които ще изпълняват обществената поръчка, в това число: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Специалист/експерт (трите имена и позиция (длъжност), която ще заема лицето при изпълнение на обществената поръчка);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Образование (степен, специалност, година на дипломиране, № на диплома, учебно заведение);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Професионална квалификация (направление, година на придобиване, № на издадения документ, издател);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Професионален опит (месторабота, период, длъжност, основни функции, участие в проекти/обекти сходни с предмета на поръчката).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Информацията за лицата от екипа, който са служители на участника, се попълва в Част IV, раздел буква В, т. 6) от ЕЕДОП.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Информацията за лицата, който не са служители на участника, се попълва в Част IV, раздел буква В, т. 2) от ЕЕДОП.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условията на чл. 67, ал. 5 от ЗОП възложителят може да изиска документи, чрез които се доказва декларираната в ЕЕДОП информация - Списък на членовете на ръководния състав, които ще отговарят за изпълнението, в който е посочена професионална компетентност на лицата.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При участие на обединения, които не са юридически лица, съответствието с критерия за подбор се доказва от обединението участник като цяло.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1. През последните 5 /пет/ години, считано от датата на подаване на офертата, участникът трябва да е изпълнил строително-монтажни работи, идентични или сходни с предмета на поръчката. Под „СМР идентични или сходни с предмета на поръчката“ следва да се разбира изпълнение на строително-монтажни работи в областта на изграждане и/или реконструкция и/или рехабилитация на пътна и/или улична мрежа с обща дължина минимум 180 л.м.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2. Участникът трябва да разполага с екип от следните технически лица за изпълнение на поръчката: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Ръководител на обекта (1 бр.) – да притежава висше образование, специалност „Пътно строителство” или еквивалентна, професионален опит от минимум 5 (пет) години и участие, като „ръководител или зам. ръководител на обект” на минимум 1 обект с предмет, сходен на предмета на обществената поръчка;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Технически ръководител (1 бр.) – лице, отговарящо на изискванията на чл. 163а от ЗУТ, притежаващо професионален опит от минимум 3 (три) години и участие като „технически ръководител” на минимум 1 обект с предмет, сходен на предмета на обществената поръчка;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Експерт по контрол на качеството (1 бр.) – да притежава валидно удостоверение/сертификат за контрол на качеството или еквивалент;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- Експерт по безопасност и здраве (КБЗ) (1 бр.) – да притежава валидно удостоверение за Длъжностно лице по безопасност и здраве в строителството, съгласно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Под обект с предмет, сходен на предмета на обществената поръчка следва да се разбира строително-монтажни работи в областта на изграждане и/или реконструкция и/или рехабилитация на пътна и/или улична мрежа.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Забележка: Участникът трябва да предложи различни лица за всяка една длъжност от екипа за изпълнение.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III.1.5) Информация относно запазени поръчки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III.2) Условия във връзка с поръчката </w:t>
      </w: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III.2.1) Информация относно определена професия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1.При подписване на договора избрания изпълнител представя документ за внесена гаранция за изпълнение под формата на парична сума, оригинал на неотменяема банкова гаранция или валидна застрахователна полица в размер на 3 % от стойността на договора без ДДС.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2.1). Авансово плащане: предвижда се извършване на авансово плащане в размер до 50 % (петдесет на сто) от стойността на договора. Плащането се извършва в 30 (тридесет) дневен срок от сключване на договора.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2). Окончателно плащане: в размер, равен на реално изпълнените дейности съгласно КСС , след приспадане на авансовото плащане в срок до 30 (тридесет) календарни дни, представен констативен акт за установяване годността за приемане на строежа (приложение № 15) и предоставяне на фактура в оригинал.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Договорената цена е окончателна и не подлежи на актуализация за срока на договора за обществена поръчка, освен при условията и по реда, определени в договора и в съответствие с чл. 116 от ЗОП.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ДА</w:t>
            </w: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8E31E2" w:rsidRPr="008E31E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E31E2" w:rsidRPr="008E31E2" w:rsidRDefault="008E31E2" w:rsidP="008E31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8E3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8E31E2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 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8E31E2" w:rsidRPr="008E31E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E31E2" w:rsidRPr="008E31E2" w:rsidRDefault="008E31E2" w:rsidP="008E31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8E31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07/01/2019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   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IV.2.4) Езици, на които могат да бъдат подадени офертите или заявленията за участие: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6</w:t>
            </w:r>
          </w:p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08/01/2019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14:00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зала №14, етаж 2, в сградата на Община Симеоновград, пл.Шейновски №3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      </w:r>
          </w:p>
        </w:tc>
      </w:tr>
    </w:tbl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8E31E2" w:rsidRPr="008E31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Ще се прилага електронно поръчване: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ИЗИСКВАНИЯ КЪМ УЧАСТНИЦИТЕ: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1. Възложителят отстранява от участие в процедурата, участник за когото са налице или са възникнали преди или по време на процедурата основанията за отстраняване по чл. 54, ал. 1, т. 1-7 и чл. 55, ал. 1, т. 1 и т.5 от ЗОП, условията по чл.107 от ЗОП,както и обстоятелствата по чл. 3,т. 8 от ЗИФОДРЮПДРС.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2. Основанията по чл. 54, ал. 1, т. 1, 2 и 7 се отнасят за лицата, които представляват участника, членовете на управителни и надзорни органи и за др. лица, които имат правомощия да упражняват контрол при вземането на решения от тези органи.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3. В случай че участникът е обединение от физически и/или юридически лица основанията за отстраняване по чл. 54, ал. 1, т. 1-7 и чл. 55, ал. 1, т. 1 и т.5 от ЗОП се прилагат за всеки член на обединението. Когато участникът предвижда участието на подизпълнители или ще използва ресурсите на трети лица, основанията се прилагат и за тях.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4. При подаване на оферта участникът декларира липсата на </w:t>
            </w:r>
            <w:proofErr w:type="spellStart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осн</w:t>
            </w:r>
            <w:proofErr w:type="spellEnd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 за отстраняване и </w:t>
            </w:r>
            <w:proofErr w:type="spellStart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съотв</w:t>
            </w:r>
            <w:proofErr w:type="spellEnd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 с критериите за подбор, чрез представяне на ЕЕДОП. В ЕЕДОП се предоставя съответната </w:t>
            </w:r>
            <w:proofErr w:type="spellStart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инфо</w:t>
            </w:r>
            <w:proofErr w:type="spellEnd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.,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</w:t>
            </w:r>
            <w:proofErr w:type="spellStart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инфо</w:t>
            </w:r>
            <w:proofErr w:type="spellEnd"/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5. В случай, че участникът предвижда участието на подизпълнители при изпълнение на поръчката те трябва да отговарят на критериите за подбор съобразно вида и дела от поръчката, които ще изпълняват.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6. Когато участникът се позовава на капацитета на трети лица, по отношение на критериите, свързани с икономическото и/или финансово състояние и/или техническите способности и/или професионалната компетентност, третите лица трябва да отговарят на съответните критерии за подбор, за доказването на които участникът се позовава на техния капацитет.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7. Когато участникът е посочил, че ще използва подизпълнители или капацитета на трети лица за доказване на съответствието с критериите за подбор, за всяко от тези лица се представя отделен ЕЕДОП.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8. В случай, че участникът е обединение, което не е юридическо лице ЕЕДОП се представя за всяко физическо и/или юридическо лице, включено в състава на обединението.</w:t>
            </w:r>
            <w:r w:rsidRPr="008E31E2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9. При подаване на офертата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8E31E2" w:rsidRPr="008E31E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8E31E2" w:rsidRPr="008E31E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8E31E2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8E31E2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8E31E2" w:rsidRPr="008E31E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8E31E2" w:rsidRPr="008E31E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E31E2">
              <w:rPr>
                <w:rFonts w:ascii="Courier New" w:eastAsia="Times New Roman" w:hAnsi="Courier New" w:cs="Courier New"/>
                <w:sz w:val="20"/>
                <w:lang w:eastAsia="bg-BG"/>
              </w:rPr>
              <w:t>Жалба може да се подава в 10-дневен срок от изтичането на срока по чл. 100, ал. 3 от ЗОП срещу решението за откриване на процедурата, съгласно разпоредбата на чл. 197, ал. 1, т. 1 от ЗОП.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VI.4.4) Служба, от която може да бъде получена информация относно подаването на жалби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8E31E2" w:rsidRPr="008E31E2" w:rsidTr="008E31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8E31E2" w:rsidRPr="008E31E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8E31E2" w:rsidRPr="008E31E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8E31E2" w:rsidRPr="008E31E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8E31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E31E2" w:rsidRPr="008E31E2" w:rsidRDefault="008E31E2" w:rsidP="008E31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E31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31E2" w:rsidRPr="008E31E2" w:rsidRDefault="008E31E2" w:rsidP="008E31E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8E31E2">
        <w:rPr>
          <w:rFonts w:ascii="Courier New" w:eastAsia="Times New Roman" w:hAnsi="Courier New" w:cs="Courier New"/>
          <w:color w:val="000000"/>
          <w:sz w:val="20"/>
          <w:lang w:eastAsia="bg-BG"/>
        </w:rPr>
        <w:t>30/11/2018</w:t>
      </w:r>
      <w:r w:rsidRPr="008E31E2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8E31E2" w:rsidRPr="008E31E2" w:rsidRDefault="008E31E2" w:rsidP="008E31E2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8E31E2" w:rsidRPr="008E31E2" w:rsidRDefault="008E31E2" w:rsidP="008E31E2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8E31E2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8E31E2" w:rsidRPr="008E31E2" w:rsidTr="008E3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E31E2" w:rsidRPr="008E31E2" w:rsidRDefault="008E31E2" w:rsidP="008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E3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323F47" w:rsidRDefault="00323F47"/>
    <w:sectPr w:rsidR="00323F47" w:rsidSect="0032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1E2"/>
    <w:rsid w:val="00323F47"/>
    <w:rsid w:val="008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7"/>
  </w:style>
  <w:style w:type="paragraph" w:styleId="1">
    <w:name w:val="heading 1"/>
    <w:basedOn w:val="a"/>
    <w:link w:val="10"/>
    <w:uiPriority w:val="9"/>
    <w:qFormat/>
    <w:rsid w:val="008E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E31E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8E31E2"/>
  </w:style>
  <w:style w:type="character" w:customStyle="1" w:styleId="inputlabel">
    <w:name w:val="input_label"/>
    <w:basedOn w:val="a0"/>
    <w:rsid w:val="008E31E2"/>
  </w:style>
  <w:style w:type="character" w:styleId="a3">
    <w:name w:val="Hyperlink"/>
    <w:basedOn w:val="a0"/>
    <w:uiPriority w:val="99"/>
    <w:semiHidden/>
    <w:unhideWhenUsed/>
    <w:rsid w:val="008E31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8E31E2"/>
  </w:style>
  <w:style w:type="paragraph" w:styleId="a5">
    <w:name w:val="Balloon Text"/>
    <w:basedOn w:val="a"/>
    <w:link w:val="a6"/>
    <w:uiPriority w:val="99"/>
    <w:semiHidden/>
    <w:unhideWhenUsed/>
    <w:rsid w:val="008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E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39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962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4063</Words>
  <Characters>23162</Characters>
  <Application>Microsoft Office Word</Application>
  <DocSecurity>0</DocSecurity>
  <Lines>193</Lines>
  <Paragraphs>54</Paragraphs>
  <ScaleCrop>false</ScaleCrop>
  <Company/>
  <LinksUpToDate>false</LinksUpToDate>
  <CharactersWithSpaces>27171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2018-12-03T08:28:00Z</dcterms:created>
  <dcterms:modified xsi:type="dcterms:W3CDTF">2018-12-03T08:29:00Z</dcterms:modified>
</cp:coreProperties>
</file>