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53" w:rsidRPr="00DD5653" w:rsidRDefault="00DD5653" w:rsidP="00DD5653">
      <w:pPr>
        <w:shd w:val="clear" w:color="auto" w:fill="F0F0F0"/>
        <w:spacing w:after="0" w:line="240" w:lineRule="auto"/>
        <w:rPr>
          <w:rFonts w:ascii="Trebuchet MS" w:eastAsia="Times New Roman" w:hAnsi="Trebuchet MS" w:cs="Times New Roman"/>
          <w:b/>
          <w:bCs/>
          <w:color w:val="000000"/>
          <w:lang w:eastAsia="bg-BG"/>
        </w:rPr>
      </w:pPr>
      <w:r w:rsidRPr="00DD5653">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Партида на възложителя: </w:t>
            </w:r>
            <w:r w:rsidRPr="00DD5653">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Поделение:</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Изходящ номер: </w:t>
            </w:r>
            <w:r w:rsidRPr="00DD5653">
              <w:rPr>
                <w:rFonts w:ascii="Courier New" w:eastAsia="Times New Roman" w:hAnsi="Courier New" w:cs="Courier New"/>
                <w:sz w:val="20"/>
                <w:lang w:eastAsia="bg-BG"/>
              </w:rPr>
              <w:t>С-2715</w:t>
            </w:r>
            <w:r w:rsidRPr="00DD5653">
              <w:rPr>
                <w:rFonts w:ascii="Times New Roman" w:eastAsia="Times New Roman" w:hAnsi="Times New Roman" w:cs="Times New Roman"/>
                <w:sz w:val="24"/>
                <w:szCs w:val="24"/>
                <w:lang w:eastAsia="bg-BG"/>
              </w:rPr>
              <w:t> от дата: </w:t>
            </w:r>
            <w:r w:rsidRPr="00DD5653">
              <w:rPr>
                <w:rFonts w:ascii="Courier New" w:eastAsia="Times New Roman" w:hAnsi="Courier New" w:cs="Courier New"/>
                <w:sz w:val="20"/>
                <w:lang w:eastAsia="bg-BG"/>
              </w:rPr>
              <w:t>21/05/2019</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дд</w:t>
            </w:r>
            <w:proofErr w:type="spellEnd"/>
            <w:r w:rsidRPr="00DD5653">
              <w:rPr>
                <w:rFonts w:ascii="Times New Roman" w:eastAsia="Times New Roman" w:hAnsi="Times New Roman" w:cs="Times New Roman"/>
                <w:i/>
                <w:iCs/>
                <w:sz w:val="24"/>
                <w:szCs w:val="24"/>
                <w:lang w:eastAsia="bg-BG"/>
              </w:rPr>
              <w:t>/мм/</w:t>
            </w:r>
            <w:proofErr w:type="spellStart"/>
            <w:r w:rsidRPr="00DD5653">
              <w:rPr>
                <w:rFonts w:ascii="Times New Roman" w:eastAsia="Times New Roman" w:hAnsi="Times New Roman" w:cs="Times New Roman"/>
                <w:i/>
                <w:iCs/>
                <w:sz w:val="24"/>
                <w:szCs w:val="24"/>
                <w:lang w:eastAsia="bg-BG"/>
              </w:rPr>
              <w:t>гггг</w:t>
            </w:r>
            <w:proofErr w:type="spellEnd"/>
            <w:r w:rsidRPr="00DD5653">
              <w:rPr>
                <w:rFonts w:ascii="Times New Roman" w:eastAsia="Times New Roman" w:hAnsi="Times New Roman" w:cs="Times New Roman"/>
                <w:i/>
                <w:iCs/>
                <w:sz w:val="24"/>
                <w:szCs w:val="24"/>
                <w:lang w:eastAsia="bg-BG"/>
              </w:rPr>
              <w:t>)</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19"/>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да</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t>Съгласен съм с </w:t>
            </w:r>
            <w:hyperlink r:id="rId4" w:tgtFrame="_blank" w:history="1">
              <w:r w:rsidRPr="00DD5653">
                <w:rPr>
                  <w:rFonts w:ascii="Times New Roman" w:eastAsia="Times New Roman" w:hAnsi="Times New Roman" w:cs="Times New Roman"/>
                  <w:color w:val="0000FF"/>
                  <w:sz w:val="24"/>
                  <w:szCs w:val="24"/>
                  <w:u w:val="single"/>
                  <w:lang w:eastAsia="bg-BG"/>
                </w:rPr>
                <w:t>Общите условия</w:t>
              </w:r>
            </w:hyperlink>
            <w:r w:rsidRPr="00DD5653">
              <w:rPr>
                <w:rFonts w:ascii="Times New Roman" w:eastAsia="Times New Roman" w:hAnsi="Times New Roman" w:cs="Times New Roman"/>
                <w:sz w:val="24"/>
                <w:szCs w:val="24"/>
                <w:lang w:eastAsia="bg-BG"/>
              </w:rPr>
              <w:t> на АОП за използване на услугата Електронен подател:</w:t>
            </w:r>
          </w:p>
          <w:tbl>
            <w:tblPr>
              <w:tblW w:w="0" w:type="auto"/>
              <w:tblCellSpacing w:w="15" w:type="dxa"/>
              <w:tblCellMar>
                <w:top w:w="15" w:type="dxa"/>
                <w:left w:w="15" w:type="dxa"/>
                <w:bottom w:w="15" w:type="dxa"/>
                <w:right w:w="15" w:type="dxa"/>
              </w:tblCellMar>
              <w:tblLook w:val="04A0"/>
            </w:tblPr>
            <w:tblGrid>
              <w:gridCol w:w="319"/>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да</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Дата на изпращане на обявлението до ОВ на ЕС: </w:t>
            </w:r>
            <w:r w:rsidRPr="00DD5653">
              <w:rPr>
                <w:rFonts w:ascii="Courier New" w:eastAsia="Times New Roman" w:hAnsi="Courier New" w:cs="Courier New"/>
                <w:sz w:val="20"/>
                <w:lang w:eastAsia="bg-BG"/>
              </w:rPr>
              <w:t>21/05/2019</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дд</w:t>
            </w:r>
            <w:proofErr w:type="spellEnd"/>
            <w:r w:rsidRPr="00DD5653">
              <w:rPr>
                <w:rFonts w:ascii="Times New Roman" w:eastAsia="Times New Roman" w:hAnsi="Times New Roman" w:cs="Times New Roman"/>
                <w:i/>
                <w:iCs/>
                <w:sz w:val="24"/>
                <w:szCs w:val="24"/>
                <w:lang w:eastAsia="bg-BG"/>
              </w:rPr>
              <w:t>/мм/</w:t>
            </w:r>
            <w:proofErr w:type="spellStart"/>
            <w:r w:rsidRPr="00DD5653">
              <w:rPr>
                <w:rFonts w:ascii="Times New Roman" w:eastAsia="Times New Roman" w:hAnsi="Times New Roman" w:cs="Times New Roman"/>
                <w:i/>
                <w:iCs/>
                <w:sz w:val="24"/>
                <w:szCs w:val="24"/>
                <w:lang w:eastAsia="bg-BG"/>
              </w:rPr>
              <w:t>гггг</w:t>
            </w:r>
            <w:proofErr w:type="spellEnd"/>
            <w:r w:rsidRPr="00DD5653">
              <w:rPr>
                <w:rFonts w:ascii="Times New Roman" w:eastAsia="Times New Roman" w:hAnsi="Times New Roman" w:cs="Times New Roman"/>
                <w:i/>
                <w:iCs/>
                <w:sz w:val="24"/>
                <w:szCs w:val="24"/>
                <w:lang w:eastAsia="bg-BG"/>
              </w:rPr>
              <w:t>)</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Заведено в преписка: </w:t>
            </w:r>
            <w:r w:rsidRPr="00DD5653">
              <w:rPr>
                <w:rFonts w:ascii="Courier New" w:eastAsia="Times New Roman" w:hAnsi="Courier New" w:cs="Courier New"/>
                <w:b/>
                <w:bCs/>
                <w:sz w:val="20"/>
                <w:lang w:eastAsia="bg-BG"/>
              </w:rPr>
              <w:t>00638-2019-0003</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nnnnn-yyyy-xxxx</w:t>
            </w:r>
            <w:proofErr w:type="spellEnd"/>
            <w:r w:rsidRPr="00DD5653">
              <w:rPr>
                <w:rFonts w:ascii="Times New Roman" w:eastAsia="Times New Roman" w:hAnsi="Times New Roman" w:cs="Times New Roman"/>
                <w:i/>
                <w:iCs/>
                <w:sz w:val="24"/>
                <w:szCs w:val="24"/>
                <w:lang w:eastAsia="bg-BG"/>
              </w:rPr>
              <w:t>)</w:t>
            </w:r>
          </w:p>
        </w:tc>
      </w:tr>
    </w:tbl>
    <w:p w:rsidR="00DD5653" w:rsidRPr="00DD5653" w:rsidRDefault="00DD5653" w:rsidP="00DD5653">
      <w:pPr>
        <w:shd w:val="clear" w:color="auto" w:fill="F0F0F0"/>
        <w:spacing w:after="0"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DD5653" w:rsidRPr="00DD5653" w:rsidRDefault="00DD5653" w:rsidP="00DD5653">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DD5653">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Информация и онлайн формуляри: </w:t>
            </w:r>
            <w:hyperlink r:id="rId6" w:tgtFrame="_blank" w:history="1">
              <w:r w:rsidRPr="00DD5653">
                <w:rPr>
                  <w:rFonts w:ascii="Times New Roman" w:eastAsia="Times New Roman" w:hAnsi="Times New Roman" w:cs="Times New Roman"/>
                  <w:color w:val="0000FF"/>
                  <w:sz w:val="24"/>
                  <w:szCs w:val="24"/>
                  <w:u w:val="single"/>
                  <w:lang w:eastAsia="bg-BG"/>
                </w:rPr>
                <w:t>http://simap.ted.europa.eu</w:t>
              </w:r>
            </w:hyperlink>
          </w:p>
        </w:tc>
      </w:tr>
    </w:tbl>
    <w:p w:rsidR="00DD5653" w:rsidRPr="00DD5653" w:rsidRDefault="00DD5653" w:rsidP="00DD5653">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DD5653">
        <w:rPr>
          <w:rFonts w:ascii="Trebuchet MS" w:eastAsia="Times New Roman" w:hAnsi="Trebuchet MS" w:cs="Times New Roman"/>
          <w:b/>
          <w:bCs/>
          <w:color w:val="000000"/>
          <w:kern w:val="36"/>
          <w:sz w:val="28"/>
          <w:szCs w:val="28"/>
          <w:lang w:eastAsia="bg-BG"/>
        </w:rPr>
        <w:t>Обявление за поръчка</w:t>
      </w:r>
    </w:p>
    <w:p w:rsidR="00DD5653" w:rsidRPr="00DD5653" w:rsidRDefault="00DD5653" w:rsidP="00DD5653">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color w:val="000000"/>
          <w:sz w:val="16"/>
          <w:szCs w:val="16"/>
          <w:lang w:eastAsia="bg-BG"/>
        </w:rPr>
        <w:t>Директива 2014/24/ЕС/ЗОП</w:t>
      </w:r>
    </w:p>
    <w:p w:rsidR="00DD5653" w:rsidRPr="00DD5653" w:rsidRDefault="00DD5653" w:rsidP="00DD5653">
      <w:pPr>
        <w:spacing w:after="0" w:line="240" w:lineRule="auto"/>
        <w:rPr>
          <w:rFonts w:ascii="Trebuchet MS" w:eastAsia="Times New Roman" w:hAnsi="Trebuchet MS" w:cs="Times New Roman"/>
          <w:b/>
          <w:bCs/>
          <w:color w:val="000000"/>
          <w:lang w:eastAsia="bg-BG"/>
        </w:rPr>
      </w:pPr>
      <w:r w:rsidRPr="00DD5653">
        <w:rPr>
          <w:rFonts w:ascii="Trebuchet MS" w:eastAsia="Times New Roman" w:hAnsi="Trebuchet MS" w:cs="Times New Roman"/>
          <w:b/>
          <w:bCs/>
          <w:color w:val="000000"/>
          <w:lang w:eastAsia="bg-BG"/>
        </w:rPr>
        <w:t> Раздел I: Възлагащ орган</w:t>
      </w: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I.1) Наименование и адреси</w:t>
      </w:r>
      <w:r w:rsidRPr="00DD5653">
        <w:rPr>
          <w:rFonts w:ascii="Trebuchet MS" w:eastAsia="Times New Roman" w:hAnsi="Trebuchet MS" w:cs="Times New Roman"/>
          <w:color w:val="000000"/>
          <w:sz w:val="16"/>
          <w:szCs w:val="16"/>
          <w:lang w:eastAsia="bg-BG"/>
        </w:rPr>
        <w:t> </w:t>
      </w:r>
      <w:r w:rsidRPr="00DD5653">
        <w:rPr>
          <w:rFonts w:ascii="Trebuchet MS" w:eastAsia="Times New Roman" w:hAnsi="Trebuchet MS" w:cs="Times New Roman"/>
          <w:color w:val="000000"/>
          <w:sz w:val="16"/>
          <w:szCs w:val="16"/>
          <w:vertAlign w:val="superscript"/>
          <w:lang w:eastAsia="bg-BG"/>
        </w:rPr>
        <w:t>1</w:t>
      </w:r>
      <w:r w:rsidRPr="00DD5653">
        <w:rPr>
          <w:rFonts w:ascii="Trebuchet MS" w:eastAsia="Times New Roman" w:hAnsi="Trebuchet MS" w:cs="Times New Roman"/>
          <w:color w:val="000000"/>
          <w:sz w:val="16"/>
          <w:szCs w:val="16"/>
          <w:lang w:eastAsia="bg-BG"/>
        </w:rPr>
        <w:t> </w:t>
      </w:r>
      <w:r w:rsidRPr="00DD5653">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197"/>
        <w:gridCol w:w="3659"/>
        <w:gridCol w:w="4264"/>
        <w:gridCol w:w="9480"/>
      </w:tblGrid>
      <w:tr w:rsidR="00DD5653" w:rsidRPr="00DD5653" w:rsidT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Официално наименование: </w:t>
            </w:r>
            <w:r w:rsidRPr="00DD5653">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Национален регистрационен номер: </w:t>
            </w:r>
            <w:r w:rsidRPr="00DD5653">
              <w:rPr>
                <w:rFonts w:ascii="Courier New" w:eastAsia="Times New Roman" w:hAnsi="Courier New" w:cs="Courier New"/>
                <w:sz w:val="20"/>
                <w:lang w:eastAsia="bg-BG"/>
              </w:rPr>
              <w:t>000903729</w:t>
            </w:r>
          </w:p>
        </w:tc>
      </w:tr>
      <w:tr w:rsidR="00DD5653" w:rsidRPr="00DD5653" w:rsidTr="00DD565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адрес: </w:t>
            </w:r>
            <w:r w:rsidRPr="00DD5653">
              <w:rPr>
                <w:rFonts w:ascii="Courier New" w:eastAsia="Times New Roman" w:hAnsi="Courier New" w:cs="Courier New"/>
                <w:sz w:val="20"/>
                <w:lang w:eastAsia="bg-BG"/>
              </w:rPr>
              <w:t>пл. „Шейновски“ № 3</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Град: </w:t>
            </w:r>
            <w:r w:rsidRPr="00DD5653">
              <w:rPr>
                <w:rFonts w:ascii="Courier New" w:eastAsia="Times New Roman" w:hAnsi="Courier New" w:cs="Courier New"/>
                <w:sz w:val="20"/>
                <w:lang w:eastAsia="bg-BG"/>
              </w:rPr>
              <w:t>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код NUTS: </w:t>
            </w:r>
            <w:r w:rsidRPr="00DD5653">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код: </w:t>
            </w:r>
            <w:r w:rsidRPr="00DD5653">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Държава: </w:t>
            </w:r>
            <w:r w:rsidRPr="00DD5653">
              <w:rPr>
                <w:rFonts w:ascii="Courier New" w:eastAsia="Times New Roman" w:hAnsi="Courier New" w:cs="Courier New"/>
                <w:sz w:val="20"/>
                <w:lang w:eastAsia="bg-BG"/>
              </w:rPr>
              <w:t>България</w:t>
            </w:r>
          </w:p>
        </w:tc>
      </w:tr>
      <w:tr w:rsidR="00DD5653" w:rsidRPr="00DD5653" w:rsidT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Лице за контакт: </w:t>
            </w:r>
            <w:r w:rsidRPr="00DD5653">
              <w:rPr>
                <w:rFonts w:ascii="Courier New" w:eastAsia="Times New Roman" w:hAnsi="Courier New" w:cs="Courier New"/>
                <w:sz w:val="20"/>
                <w:lang w:eastAsia="bg-BG"/>
              </w:rPr>
              <w:t>Мими Дачева, 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Телефон: </w:t>
            </w:r>
            <w:r w:rsidRPr="00DD5653">
              <w:rPr>
                <w:rFonts w:ascii="Courier New" w:eastAsia="Times New Roman" w:hAnsi="Courier New" w:cs="Courier New"/>
                <w:sz w:val="20"/>
                <w:lang w:eastAsia="bg-BG"/>
              </w:rPr>
              <w:t>+359 3781-2341</w:t>
            </w:r>
          </w:p>
        </w:tc>
      </w:tr>
      <w:tr w:rsidR="00DD5653" w:rsidRPr="00DD5653" w:rsidT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Електронна поща: </w:t>
            </w:r>
            <w:r w:rsidRPr="00DD5653">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Факс: </w:t>
            </w:r>
            <w:r w:rsidRPr="00DD5653">
              <w:rPr>
                <w:rFonts w:ascii="Courier New" w:eastAsia="Times New Roman" w:hAnsi="Courier New" w:cs="Courier New"/>
                <w:sz w:val="20"/>
                <w:lang w:eastAsia="bg-BG"/>
              </w:rPr>
              <w:t>+359 3781-2006</w:t>
            </w:r>
          </w:p>
        </w:tc>
      </w:tr>
      <w:tr w:rsidR="00DD5653" w:rsidRPr="00DD5653" w:rsidTr="00DD565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Интернет адрес/и</w:t>
            </w:r>
          </w:p>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Основен адрес: </w:t>
            </w:r>
            <w:r w:rsidRPr="00DD5653">
              <w:rPr>
                <w:rFonts w:ascii="Times New Roman" w:eastAsia="Times New Roman" w:hAnsi="Times New Roman" w:cs="Times New Roman"/>
                <w:i/>
                <w:iCs/>
                <w:sz w:val="24"/>
                <w:szCs w:val="24"/>
                <w:lang w:eastAsia="bg-BG"/>
              </w:rPr>
              <w:t>(URL)</w:t>
            </w:r>
            <w:r w:rsidRPr="00DD5653">
              <w:rPr>
                <w:rFonts w:ascii="Times New Roman" w:eastAsia="Times New Roman" w:hAnsi="Times New Roman" w:cs="Times New Roman"/>
                <w:sz w:val="24"/>
                <w:szCs w:val="24"/>
                <w:lang w:eastAsia="bg-BG"/>
              </w:rPr>
              <w:t> </w:t>
            </w:r>
            <w:hyperlink r:id="rId7" w:tgtFrame="_blank" w:history="1">
              <w:r w:rsidRPr="00DD5653">
                <w:rPr>
                  <w:rFonts w:ascii="Courier New" w:eastAsia="Times New Roman" w:hAnsi="Courier New" w:cs="Courier New"/>
                  <w:color w:val="0000FF"/>
                  <w:sz w:val="20"/>
                  <w:u w:val="single"/>
                  <w:lang w:eastAsia="bg-BG"/>
                </w:rPr>
                <w:t>www.simeonovgrad.bg</w:t>
              </w:r>
            </w:hyperlink>
          </w:p>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Адрес на профила на купувача: </w:t>
            </w:r>
            <w:r w:rsidRPr="00DD5653">
              <w:rPr>
                <w:rFonts w:ascii="Times New Roman" w:eastAsia="Times New Roman" w:hAnsi="Times New Roman" w:cs="Times New Roman"/>
                <w:i/>
                <w:iCs/>
                <w:sz w:val="24"/>
                <w:szCs w:val="24"/>
                <w:lang w:eastAsia="bg-BG"/>
              </w:rPr>
              <w:t>(URL)</w:t>
            </w:r>
            <w:r w:rsidRPr="00DD5653">
              <w:rPr>
                <w:rFonts w:ascii="Times New Roman" w:eastAsia="Times New Roman" w:hAnsi="Times New Roman" w:cs="Times New Roman"/>
                <w:sz w:val="24"/>
                <w:szCs w:val="24"/>
                <w:lang w:eastAsia="bg-BG"/>
              </w:rPr>
              <w:t> </w:t>
            </w:r>
            <w:hyperlink r:id="rId8" w:tgtFrame="_blank" w:history="1">
              <w:r w:rsidRPr="00DD5653">
                <w:rPr>
                  <w:rFonts w:ascii="Courier New" w:eastAsia="Times New Roman" w:hAnsi="Courier New" w:cs="Courier New"/>
                  <w:color w:val="0000FF"/>
                  <w:sz w:val="20"/>
                  <w:u w:val="single"/>
                  <w:lang w:eastAsia="bg-BG"/>
                </w:rPr>
                <w:t>http://www.simeonovgrad.bg/profilebuyer</w:t>
              </w:r>
            </w:hyperlink>
          </w:p>
        </w:tc>
      </w:tr>
    </w:tbl>
    <w:p w:rsidR="00DD5653" w:rsidRPr="00DD5653" w:rsidRDefault="00DD5653" w:rsidP="00DD5653">
      <w:pPr>
        <w:spacing w:after="0" w:line="240" w:lineRule="auto"/>
        <w:rPr>
          <w:rFonts w:ascii="Trebuchet MS" w:eastAsia="Times New Roman" w:hAnsi="Trebuchet MS" w:cs="Times New Roman"/>
          <w:color w:val="000000"/>
          <w:sz w:val="16"/>
          <w:szCs w:val="16"/>
          <w:lang w:eastAsia="bg-BG"/>
        </w:rPr>
      </w:pP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DD5653" w:rsidRPr="00DD565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Поръчката обхваща съвместно възлагане: </w:t>
                  </w:r>
                  <w:r w:rsidRPr="00DD5653">
                    <w:rPr>
                      <w:rFonts w:ascii="Courier New" w:eastAsia="Times New Roman" w:hAnsi="Courier New" w:cs="Courier New"/>
                      <w:sz w:val="20"/>
                      <w:lang w:eastAsia="bg-BG"/>
                    </w:rPr>
                    <w:t>НЕ</w:t>
                  </w:r>
                </w:p>
              </w:tc>
            </w:tr>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DD5653" w:rsidRPr="00DD565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Поръчката се възлага от централен орган за покупки: </w:t>
                  </w:r>
                  <w:r w:rsidRPr="00DD5653">
                    <w:rPr>
                      <w:rFonts w:ascii="Courier New" w:eastAsia="Times New Roman" w:hAnsi="Courier New" w:cs="Courier New"/>
                      <w:sz w:val="20"/>
                      <w:lang w:eastAsia="bg-BG"/>
                    </w:rPr>
                    <w:t>НЕ</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rebuchet MS" w:eastAsia="Times New Roman" w:hAnsi="Trebuchet MS" w:cs="Times New Roman"/>
          <w:color w:val="000000"/>
          <w:sz w:val="16"/>
          <w:szCs w:val="16"/>
          <w:lang w:eastAsia="bg-BG"/>
        </w:rPr>
      </w:pP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I.3) Комуникация </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(URL): </w:t>
                  </w:r>
                  <w:hyperlink r:id="rId9" w:tgtFrame="_blank" w:history="1">
                    <w:r w:rsidRPr="00DD5653">
                      <w:rPr>
                        <w:rFonts w:ascii="Courier New" w:eastAsia="Times New Roman" w:hAnsi="Courier New" w:cs="Courier New"/>
                        <w:color w:val="0000FF"/>
                        <w:sz w:val="20"/>
                        <w:u w:val="single"/>
                        <w:lang w:eastAsia="bg-BG"/>
                      </w:rPr>
                      <w:t>http://www.simeonovgrad.bg/profilebuyer</w:t>
                    </w:r>
                  </w:hyperlink>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Горепосоченото/</w:t>
                        </w:r>
                        <w:proofErr w:type="spellStart"/>
                        <w:r w:rsidRPr="00DD5653">
                          <w:rPr>
                            <w:rFonts w:ascii="Times New Roman" w:eastAsia="Times New Roman" w:hAnsi="Times New Roman" w:cs="Times New Roman"/>
                            <w:sz w:val="24"/>
                            <w:szCs w:val="24"/>
                            <w:lang w:eastAsia="bg-BG"/>
                          </w:rPr>
                          <w:t>ите</w:t>
                        </w:r>
                        <w:proofErr w:type="spellEnd"/>
                        <w:r w:rsidRPr="00DD5653">
                          <w:rPr>
                            <w:rFonts w:ascii="Times New Roman" w:eastAsia="Times New Roman" w:hAnsi="Times New Roman" w:cs="Times New Roman"/>
                            <w:sz w:val="24"/>
                            <w:szCs w:val="24"/>
                            <w:lang w:eastAsia="bg-BG"/>
                          </w:rPr>
                          <w:t xml:space="preserve"> място/места за контакт</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Горепосоченото/</w:t>
                        </w:r>
                        <w:proofErr w:type="spellStart"/>
                        <w:r w:rsidRPr="00DD5653">
                          <w:rPr>
                            <w:rFonts w:ascii="Times New Roman" w:eastAsia="Times New Roman" w:hAnsi="Times New Roman" w:cs="Times New Roman"/>
                            <w:sz w:val="24"/>
                            <w:szCs w:val="24"/>
                            <w:lang w:eastAsia="bg-BG"/>
                          </w:rPr>
                          <w:t>ите</w:t>
                        </w:r>
                        <w:proofErr w:type="spellEnd"/>
                        <w:r w:rsidRPr="00DD5653">
                          <w:rPr>
                            <w:rFonts w:ascii="Times New Roman" w:eastAsia="Times New Roman" w:hAnsi="Times New Roman" w:cs="Times New Roman"/>
                            <w:sz w:val="24"/>
                            <w:szCs w:val="24"/>
                            <w:lang w:eastAsia="bg-BG"/>
                          </w:rPr>
                          <w:t xml:space="preserve"> място/места за контакт</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електронно посредством: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t>  </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t> (URL):</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rebuchet MS" w:eastAsia="Times New Roman" w:hAnsi="Trebuchet MS" w:cs="Times New Roman"/>
          <w:color w:val="000000"/>
          <w:sz w:val="16"/>
          <w:szCs w:val="16"/>
          <w:lang w:eastAsia="bg-BG"/>
        </w:rPr>
      </w:pP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I.4) Вид на възлагащия орган</w:t>
      </w:r>
      <w:r w:rsidRPr="00DD5653">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Регионален или местен орган</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rebuchet MS" w:eastAsia="Times New Roman" w:hAnsi="Trebuchet MS" w:cs="Times New Roman"/>
          <w:color w:val="000000"/>
          <w:sz w:val="16"/>
          <w:szCs w:val="16"/>
          <w:lang w:eastAsia="bg-BG"/>
        </w:rPr>
      </w:pP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I.5) Основна дейност</w:t>
      </w:r>
      <w:r w:rsidRPr="00DD5653">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Общи обществени услуги</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rebuchet MS" w:eastAsia="Times New Roman" w:hAnsi="Trebuchet MS" w:cs="Times New Roman"/>
          <w:b/>
          <w:bCs/>
          <w:color w:val="000000"/>
          <w:lang w:eastAsia="bg-BG"/>
        </w:rPr>
      </w:pPr>
      <w:r w:rsidRPr="00DD5653">
        <w:rPr>
          <w:rFonts w:ascii="Trebuchet MS" w:eastAsia="Times New Roman" w:hAnsi="Trebuchet MS" w:cs="Times New Roman"/>
          <w:b/>
          <w:bCs/>
          <w:color w:val="000000"/>
          <w:lang w:eastAsia="bg-BG"/>
        </w:rPr>
        <w:t>Раздел II: Предмет</w:t>
      </w: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9949"/>
        <w:gridCol w:w="1818"/>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II.1.1) Наименование</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 xml:space="preserve">Рехабилитация и реконструкция на уличната мрежа и прилежащите съоръжения в град Симеоновград,както следва:Г.Бенковски,Неофит Рилски,Ст.Караджа,Патриарх </w:t>
            </w:r>
            <w:proofErr w:type="spellStart"/>
            <w:r w:rsidRPr="00DD5653">
              <w:rPr>
                <w:rFonts w:ascii="Courier New" w:eastAsia="Times New Roman" w:hAnsi="Courier New" w:cs="Courier New"/>
                <w:sz w:val="20"/>
                <w:lang w:eastAsia="bg-BG"/>
              </w:rPr>
              <w:t>Ефтимий</w:t>
            </w:r>
            <w:proofErr w:type="spellEnd"/>
            <w:r w:rsidRPr="00DD5653">
              <w:rPr>
                <w:rFonts w:ascii="Courier New" w:eastAsia="Times New Roman" w:hAnsi="Courier New" w:cs="Courier New"/>
                <w:sz w:val="20"/>
                <w:lang w:eastAsia="bg-BG"/>
              </w:rPr>
              <w:t xml:space="preserve">,Янко </w:t>
            </w:r>
            <w:proofErr w:type="spellStart"/>
            <w:r w:rsidRPr="00DD5653">
              <w:rPr>
                <w:rFonts w:ascii="Courier New" w:eastAsia="Times New Roman" w:hAnsi="Courier New" w:cs="Courier New"/>
                <w:sz w:val="20"/>
                <w:lang w:eastAsia="bg-BG"/>
              </w:rPr>
              <w:t>Сакъзов</w:t>
            </w:r>
            <w:proofErr w:type="spellEnd"/>
            <w:r w:rsidRPr="00DD5653">
              <w:rPr>
                <w:rFonts w:ascii="Courier New" w:eastAsia="Times New Roman" w:hAnsi="Courier New" w:cs="Courier New"/>
                <w:sz w:val="20"/>
                <w:lang w:eastAsia="bg-BG"/>
              </w:rPr>
              <w:t xml:space="preserve"> и част от Хан Аспарух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Референтен номер: </w:t>
            </w:r>
            <w:r w:rsidRPr="00DD5653">
              <w:rPr>
                <w:rFonts w:ascii="Times New Roman" w:eastAsia="Times New Roman" w:hAnsi="Times New Roman" w:cs="Times New Roman"/>
                <w:sz w:val="24"/>
                <w:szCs w:val="24"/>
                <w:vertAlign w:val="superscript"/>
                <w:lang w:eastAsia="bg-BG"/>
              </w:rPr>
              <w:t>2</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II.1.2) Основен CPV код</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45233252</w:t>
            </w:r>
            <w:r w:rsidRPr="00DD5653">
              <w:rPr>
                <w:rFonts w:ascii="Times New Roman" w:eastAsia="Times New Roman" w:hAnsi="Times New Roman" w:cs="Times New Roman"/>
                <w:sz w:val="24"/>
                <w:szCs w:val="24"/>
                <w:lang w:eastAsia="bg-BG"/>
              </w:rPr>
              <w:t>      Допълнителен CPV код: </w:t>
            </w:r>
            <w:r w:rsidRPr="00DD5653">
              <w:rPr>
                <w:rFonts w:ascii="Times New Roman" w:eastAsia="Times New Roman" w:hAnsi="Times New Roman" w:cs="Times New Roman"/>
                <w:sz w:val="24"/>
                <w:szCs w:val="24"/>
                <w:vertAlign w:val="superscript"/>
                <w:lang w:eastAsia="bg-BG"/>
              </w:rPr>
              <w:t>1</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b/>
                      <w:bCs/>
                      <w:sz w:val="24"/>
                      <w:szCs w:val="24"/>
                      <w:lang w:eastAsia="bg-BG"/>
                    </w:rPr>
                    <w:t>II.1.3) Вид на поръчка</w:t>
                  </w:r>
                  <w:r w:rsidRPr="00DD5653">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1500"/>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Строителство</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II.1.4) Кратко описание</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 xml:space="preserve">Рехабилитация и реконструкция на уличната мрежа и прилежащите съоръжения в град Симеоновград, както следва: ул.Георги Бенковски, ул.Неофит Рилски, ул.Стефан Караджа, ул.Патриарх </w:t>
            </w:r>
            <w:proofErr w:type="spellStart"/>
            <w:r w:rsidRPr="00DD5653">
              <w:rPr>
                <w:rFonts w:ascii="Courier New" w:eastAsia="Times New Roman" w:hAnsi="Courier New" w:cs="Courier New"/>
                <w:sz w:val="20"/>
                <w:lang w:eastAsia="bg-BG"/>
              </w:rPr>
              <w:t>Ефтимий</w:t>
            </w:r>
            <w:proofErr w:type="spellEnd"/>
            <w:r w:rsidRPr="00DD5653">
              <w:rPr>
                <w:rFonts w:ascii="Courier New" w:eastAsia="Times New Roman" w:hAnsi="Courier New" w:cs="Courier New"/>
                <w:sz w:val="20"/>
                <w:lang w:eastAsia="bg-BG"/>
              </w:rPr>
              <w:t xml:space="preserve">, ул. Янко </w:t>
            </w:r>
            <w:proofErr w:type="spellStart"/>
            <w:r w:rsidRPr="00DD5653">
              <w:rPr>
                <w:rFonts w:ascii="Courier New" w:eastAsia="Times New Roman" w:hAnsi="Courier New" w:cs="Courier New"/>
                <w:sz w:val="20"/>
                <w:lang w:eastAsia="bg-BG"/>
              </w:rPr>
              <w:t>Сакъзов</w:t>
            </w:r>
            <w:proofErr w:type="spellEnd"/>
            <w:r w:rsidRPr="00DD5653">
              <w:rPr>
                <w:rFonts w:ascii="Courier New" w:eastAsia="Times New Roman" w:hAnsi="Courier New" w:cs="Courier New"/>
                <w:sz w:val="20"/>
                <w:lang w:eastAsia="bg-BG"/>
              </w:rPr>
              <w:t xml:space="preserve"> и част от ул.Хан Аспарух</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II.1.5) Прогнозна обща стойност</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br/>
              <w:t>Стойност, без да се включва ДДС: </w:t>
            </w:r>
            <w:r w:rsidRPr="00DD5653">
              <w:rPr>
                <w:rFonts w:ascii="Courier New" w:eastAsia="Times New Roman" w:hAnsi="Courier New" w:cs="Courier New"/>
                <w:sz w:val="20"/>
                <w:lang w:eastAsia="bg-BG"/>
              </w:rPr>
              <w:t>2748574.89</w:t>
            </w:r>
            <w:r w:rsidRPr="00DD5653">
              <w:rPr>
                <w:rFonts w:ascii="Times New Roman" w:eastAsia="Times New Roman" w:hAnsi="Times New Roman" w:cs="Times New Roman"/>
                <w:sz w:val="24"/>
                <w:szCs w:val="24"/>
                <w:lang w:eastAsia="bg-BG"/>
              </w:rPr>
              <w:t>      Валута: </w:t>
            </w:r>
            <w:r w:rsidRPr="00DD5653">
              <w:rPr>
                <w:rFonts w:ascii="Courier New" w:eastAsia="Times New Roman" w:hAnsi="Courier New" w:cs="Courier New"/>
                <w:sz w:val="20"/>
                <w:lang w:eastAsia="bg-BG"/>
              </w:rPr>
              <w:t>BGN</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lastRenderedPageBreak/>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4413"/>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18"/>
                <w:lang w:eastAsia="bg-BG"/>
              </w:rPr>
              <w:lastRenderedPageBreak/>
              <w:t>II.2) Описание </w:t>
            </w:r>
            <w:r w:rsidRPr="00DD5653">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0265"/>
              <w:gridCol w:w="11335"/>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II.2.1) Наименование</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Обособена позиция номер: </w:t>
                  </w:r>
                  <w:r w:rsidRPr="00DD5653">
                    <w:rPr>
                      <w:rFonts w:ascii="Times New Roman" w:eastAsia="Times New Roman" w:hAnsi="Times New Roman" w:cs="Times New Roman"/>
                      <w:sz w:val="24"/>
                      <w:szCs w:val="24"/>
                      <w:vertAlign w:val="superscript"/>
                      <w:lang w:eastAsia="bg-BG"/>
                    </w:rPr>
                    <w:t>2</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II.2.2) Допълнителни CPV кодове </w:t>
                  </w:r>
                  <w:r w:rsidRPr="00DD5653">
                    <w:rPr>
                      <w:rFonts w:ascii="Times New Roman" w:eastAsia="Times New Roman" w:hAnsi="Times New Roman" w:cs="Times New Roman"/>
                      <w:b/>
                      <w:bCs/>
                      <w:sz w:val="24"/>
                      <w:szCs w:val="24"/>
                      <w:vertAlign w:val="superscript"/>
                      <w:lang w:eastAsia="bg-BG"/>
                    </w:rPr>
                    <w:t>2</w:t>
                  </w:r>
                  <w:r w:rsidRPr="00DD5653">
                    <w:rPr>
                      <w:rFonts w:ascii="Times New Roman" w:eastAsia="Times New Roman" w:hAnsi="Times New Roman" w:cs="Times New Roman"/>
                      <w:sz w:val="24"/>
                      <w:szCs w:val="24"/>
                      <w:lang w:eastAsia="bg-BG"/>
                    </w:rPr>
                    <w:br/>
                    <w:t>Основен CPV код: </w:t>
                  </w:r>
                  <w:r w:rsidRPr="00DD5653">
                    <w:rPr>
                      <w:rFonts w:ascii="Times New Roman" w:eastAsia="Times New Roman" w:hAnsi="Times New Roman" w:cs="Times New Roman"/>
                      <w:sz w:val="24"/>
                      <w:szCs w:val="24"/>
                      <w:vertAlign w:val="superscript"/>
                      <w:lang w:eastAsia="bg-BG"/>
                    </w:rPr>
                    <w:t>1</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45233252</w:t>
                  </w:r>
                  <w:r w:rsidRPr="00DD5653">
                    <w:rPr>
                      <w:rFonts w:ascii="Times New Roman" w:eastAsia="Times New Roman" w:hAnsi="Times New Roman" w:cs="Times New Roman"/>
                      <w:sz w:val="24"/>
                      <w:szCs w:val="24"/>
                      <w:lang w:eastAsia="bg-BG"/>
                    </w:rPr>
                    <w:t>      Допълнителен CPV код: </w:t>
                  </w:r>
                  <w:r w:rsidRPr="00DD5653">
                    <w:rPr>
                      <w:rFonts w:ascii="Times New Roman" w:eastAsia="Times New Roman" w:hAnsi="Times New Roman" w:cs="Times New Roman"/>
                      <w:sz w:val="24"/>
                      <w:szCs w:val="24"/>
                      <w:vertAlign w:val="superscript"/>
                      <w:lang w:eastAsia="bg-BG"/>
                    </w:rPr>
                    <w:t>1</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II.2.3) Място на изпълнение</w:t>
                  </w:r>
                  <w:r w:rsidRPr="00DD5653">
                    <w:rPr>
                      <w:rFonts w:ascii="Times New Roman" w:eastAsia="Times New Roman" w:hAnsi="Times New Roman" w:cs="Times New Roman"/>
                      <w:sz w:val="24"/>
                      <w:szCs w:val="24"/>
                      <w:lang w:eastAsia="bg-BG"/>
                    </w:rPr>
                    <w:br/>
                    <w:t>код NUTS: </w:t>
                  </w:r>
                  <w:r w:rsidRPr="00DD5653">
                    <w:rPr>
                      <w:rFonts w:ascii="Times New Roman" w:eastAsia="Times New Roman" w:hAnsi="Times New Roman" w:cs="Times New Roman"/>
                      <w:sz w:val="24"/>
                      <w:szCs w:val="24"/>
                      <w:vertAlign w:val="superscript"/>
                      <w:lang w:eastAsia="bg-BG"/>
                    </w:rPr>
                    <w:t>1</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BG422</w:t>
                  </w:r>
                  <w:r w:rsidRPr="00DD5653">
                    <w:rPr>
                      <w:rFonts w:ascii="Times New Roman" w:eastAsia="Times New Roman" w:hAnsi="Times New Roman" w:cs="Times New Roman"/>
                      <w:sz w:val="24"/>
                      <w:szCs w:val="24"/>
                      <w:lang w:eastAsia="bg-BG"/>
                    </w:rPr>
                    <w:br/>
                    <w:t>Основно място на изпълнение: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гр. Симеоновград</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II.2.4) Описание на обществената поръчка</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 xml:space="preserve">Рехабилитация и реконструкция на уличната мрежа и прилежащите съоръжения в град Симеоновград, както следва:ул. Георги Бенковски, ул.Неофит Рилски,ул. Стефан Караджа, ул.Патриарх </w:t>
                  </w:r>
                  <w:proofErr w:type="spellStart"/>
                  <w:r w:rsidRPr="00DD5653">
                    <w:rPr>
                      <w:rFonts w:ascii="Courier New" w:eastAsia="Times New Roman" w:hAnsi="Courier New" w:cs="Courier New"/>
                      <w:sz w:val="20"/>
                      <w:lang w:eastAsia="bg-BG"/>
                    </w:rPr>
                    <w:t>Ефтимий</w:t>
                  </w:r>
                  <w:proofErr w:type="spellEnd"/>
                  <w:r w:rsidRPr="00DD5653">
                    <w:rPr>
                      <w:rFonts w:ascii="Courier New" w:eastAsia="Times New Roman" w:hAnsi="Courier New" w:cs="Courier New"/>
                      <w:sz w:val="20"/>
                      <w:lang w:eastAsia="bg-BG"/>
                    </w:rPr>
                    <w:t xml:space="preserve">, ул. Янко </w:t>
                  </w:r>
                  <w:proofErr w:type="spellStart"/>
                  <w:r w:rsidRPr="00DD5653">
                    <w:rPr>
                      <w:rFonts w:ascii="Courier New" w:eastAsia="Times New Roman" w:hAnsi="Courier New" w:cs="Courier New"/>
                      <w:sz w:val="20"/>
                      <w:lang w:eastAsia="bg-BG"/>
                    </w:rPr>
                    <w:t>Сакъзов</w:t>
                  </w:r>
                  <w:proofErr w:type="spellEnd"/>
                  <w:r w:rsidRPr="00DD5653">
                    <w:rPr>
                      <w:rFonts w:ascii="Courier New" w:eastAsia="Times New Roman" w:hAnsi="Courier New" w:cs="Courier New"/>
                      <w:sz w:val="20"/>
                      <w:lang w:eastAsia="bg-BG"/>
                    </w:rPr>
                    <w:t xml:space="preserve"> и част от ул. Хан Аспарух</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Възложителят разполага с технически/работни проекти за улиците, които са неразделна част от документацията.</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8569"/>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b/>
                            <w:bCs/>
                            <w:sz w:val="24"/>
                            <w:szCs w:val="24"/>
                            <w:lang w:eastAsia="bg-BG"/>
                          </w:rPr>
                          <w:t>II.2.5) Критерии за възлагане</w:t>
                        </w:r>
                        <w:r w:rsidRPr="00DD5653">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Критериите по-долу</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5"/>
                          <w:gridCol w:w="4828"/>
                        </w:tblGrid>
                        <w:tr w:rsidR="00DD5653" w:rsidRPr="00DD565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Критерий за качество: </w:t>
                              </w:r>
                              <w:r w:rsidRPr="00DD5653">
                                <w:rPr>
                                  <w:rFonts w:ascii="Times New Roman" w:eastAsia="Times New Roman" w:hAnsi="Times New Roman" w:cs="Times New Roman"/>
                                  <w:sz w:val="24"/>
                                  <w:szCs w:val="24"/>
                                  <w:vertAlign w:val="superscript"/>
                                  <w:lang w:eastAsia="bg-BG"/>
                                </w:rPr>
                                <w:t>1</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20</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Име: </w:t>
                              </w:r>
                              <w:r w:rsidRPr="00DD5653">
                                <w:rPr>
                                  <w:rFonts w:ascii="Courier New" w:eastAsia="Times New Roman" w:hAnsi="Courier New" w:cs="Courier New"/>
                                  <w:sz w:val="20"/>
                                  <w:lang w:eastAsia="bg-BG"/>
                                </w:rPr>
                                <w:t>1. Срок за изпълнение</w:t>
                              </w:r>
                              <w:r w:rsidRPr="00DD5653">
                                <w:rPr>
                                  <w:rFonts w:ascii="Times New Roman" w:eastAsia="Times New Roman" w:hAnsi="Times New Roman" w:cs="Times New Roman"/>
                                  <w:sz w:val="24"/>
                                  <w:szCs w:val="24"/>
                                  <w:lang w:eastAsia="bg-BG"/>
                                </w:rPr>
                                <w:t>    Тежест: </w:t>
                              </w:r>
                              <w:r w:rsidRPr="00DD5653">
                                <w:rPr>
                                  <w:rFonts w:ascii="Courier New" w:eastAsia="Times New Roman" w:hAnsi="Courier New" w:cs="Courier New"/>
                                  <w:sz w:val="20"/>
                                  <w:lang w:eastAsia="bg-BG"/>
                                </w:rPr>
                                <w:t>40</w:t>
                              </w:r>
                            </w:p>
                          </w:tc>
                        </w:tr>
                        <w:tr w:rsidR="00DD5653" w:rsidRPr="00DD565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Цена</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Тежест: </w:t>
                              </w:r>
                              <w:r w:rsidRPr="00DD5653">
                                <w:rPr>
                                  <w:rFonts w:ascii="Times New Roman" w:eastAsia="Times New Roman" w:hAnsi="Times New Roman" w:cs="Times New Roman"/>
                                  <w:sz w:val="24"/>
                                  <w:szCs w:val="24"/>
                                  <w:vertAlign w:val="superscript"/>
                                  <w:lang w:eastAsia="bg-BG"/>
                                </w:rPr>
                                <w:t>21</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60</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II.2.6) Прогнозна стойност</w:t>
                  </w:r>
                  <w:r w:rsidRPr="00DD5653">
                    <w:rPr>
                      <w:rFonts w:ascii="Times New Roman" w:eastAsia="Times New Roman" w:hAnsi="Times New Roman" w:cs="Times New Roman"/>
                      <w:sz w:val="24"/>
                      <w:szCs w:val="24"/>
                      <w:lang w:eastAsia="bg-BG"/>
                    </w:rPr>
                    <w:br/>
                    <w:t>Стойност, без да се включва ДДС: </w:t>
                  </w:r>
                  <w:r w:rsidRPr="00DD5653">
                    <w:rPr>
                      <w:rFonts w:ascii="Courier New" w:eastAsia="Times New Roman" w:hAnsi="Courier New" w:cs="Courier New"/>
                      <w:sz w:val="20"/>
                      <w:lang w:eastAsia="bg-BG"/>
                    </w:rPr>
                    <w:t>2748574.89</w:t>
                  </w:r>
                  <w:r w:rsidRPr="00DD5653">
                    <w:rPr>
                      <w:rFonts w:ascii="Times New Roman" w:eastAsia="Times New Roman" w:hAnsi="Times New Roman" w:cs="Times New Roman"/>
                      <w:sz w:val="24"/>
                      <w:szCs w:val="24"/>
                      <w:lang w:eastAsia="bg-BG"/>
                    </w:rPr>
                    <w:t>      Валута: </w:t>
                  </w:r>
                  <w:r w:rsidRPr="00DD5653">
                    <w:rPr>
                      <w:rFonts w:ascii="Courier New" w:eastAsia="Times New Roman" w:hAnsi="Courier New" w:cs="Courier New"/>
                      <w:sz w:val="20"/>
                      <w:lang w:eastAsia="bg-BG"/>
                    </w:rPr>
                    <w:t>BGN</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DD5653">
                    <w:rPr>
                      <w:rFonts w:ascii="Times New Roman" w:eastAsia="Times New Roman" w:hAnsi="Times New Roman" w:cs="Times New Roman"/>
                      <w:sz w:val="24"/>
                      <w:szCs w:val="24"/>
                      <w:lang w:eastAsia="bg-BG"/>
                    </w:rPr>
                    <w:br/>
                    <w:t>Продължителност в дни: </w:t>
                  </w:r>
                  <w:r w:rsidRPr="00DD5653">
                    <w:rPr>
                      <w:rFonts w:ascii="Courier New" w:eastAsia="Times New Roman" w:hAnsi="Courier New" w:cs="Courier New"/>
                      <w:sz w:val="20"/>
                      <w:lang w:eastAsia="bg-BG"/>
                    </w:rPr>
                    <w:t>150</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br/>
                    <w:t xml:space="preserve">Описание на </w:t>
                  </w:r>
                  <w:proofErr w:type="spellStart"/>
                  <w:r w:rsidRPr="00DD5653">
                    <w:rPr>
                      <w:rFonts w:ascii="Times New Roman" w:eastAsia="Times New Roman" w:hAnsi="Times New Roman" w:cs="Times New Roman"/>
                      <w:sz w:val="24"/>
                      <w:szCs w:val="24"/>
                      <w:lang w:eastAsia="bg-BG"/>
                    </w:rPr>
                    <w:t>подновяванията</w:t>
                  </w:r>
                  <w:proofErr w:type="spellEnd"/>
                  <w:r w:rsidRPr="00DD5653">
                    <w:rPr>
                      <w:rFonts w:ascii="Times New Roman" w:eastAsia="Times New Roman" w:hAnsi="Times New Roman" w:cs="Times New Roman"/>
                      <w:sz w:val="24"/>
                      <w:szCs w:val="24"/>
                      <w:lang w:eastAsia="bg-BG"/>
                    </w:rPr>
                    <w:t>: </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DD5653">
                    <w:rPr>
                      <w:rFonts w:ascii="Times New Roman" w:eastAsia="Times New Roman" w:hAnsi="Times New Roman" w:cs="Times New Roman"/>
                      <w:b/>
                      <w:bCs/>
                      <w:sz w:val="24"/>
                      <w:szCs w:val="24"/>
                      <w:lang w:eastAsia="bg-BG"/>
                    </w:rPr>
                    <w:t>кадидатите</w:t>
                  </w:r>
                  <w:proofErr w:type="spellEnd"/>
                  <w:r w:rsidRPr="00DD5653">
                    <w:rPr>
                      <w:rFonts w:ascii="Times New Roman" w:eastAsia="Times New Roman" w:hAnsi="Times New Roman" w:cs="Times New Roman"/>
                      <w:b/>
                      <w:bCs/>
                      <w:sz w:val="24"/>
                      <w:szCs w:val="24"/>
                      <w:lang w:eastAsia="bg-BG"/>
                    </w:rPr>
                    <w:t>, които ще бъдат поканени </w:t>
                  </w:r>
                  <w:r w:rsidRPr="00DD5653">
                    <w:rPr>
                      <w:rFonts w:ascii="Times New Roman" w:eastAsia="Times New Roman" w:hAnsi="Times New Roman" w:cs="Times New Roman"/>
                      <w:i/>
                      <w:iCs/>
                      <w:sz w:val="24"/>
                      <w:szCs w:val="24"/>
                      <w:lang w:eastAsia="bg-BG"/>
                    </w:rPr>
                    <w:t>(с изключение на открити процедури)</w:t>
                  </w:r>
                  <w:r w:rsidRPr="00DD5653">
                    <w:rPr>
                      <w:rFonts w:ascii="Times New Roman" w:eastAsia="Times New Roman" w:hAnsi="Times New Roman" w:cs="Times New Roman"/>
                      <w:sz w:val="24"/>
                      <w:szCs w:val="24"/>
                      <w:lang w:eastAsia="bg-BG"/>
                    </w:rPr>
                    <w:br/>
                    <w:t>Очакван брой кандидати: </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i/>
                      <w:iCs/>
                      <w:sz w:val="24"/>
                      <w:szCs w:val="24"/>
                      <w:lang w:eastAsia="bg-BG"/>
                    </w:rPr>
                    <w:t>или</w:t>
                  </w:r>
                  <w:r w:rsidRPr="00DD5653">
                    <w:rPr>
                      <w:rFonts w:ascii="Times New Roman" w:eastAsia="Times New Roman" w:hAnsi="Times New Roman" w:cs="Times New Roman"/>
                      <w:sz w:val="24"/>
                      <w:szCs w:val="24"/>
                      <w:lang w:eastAsia="bg-BG"/>
                    </w:rPr>
                    <w:t> Предвиден минимален брой:  </w:t>
                  </w:r>
                  <w:r w:rsidRPr="00DD5653">
                    <w:rPr>
                      <w:rFonts w:ascii="Times New Roman" w:eastAsia="Times New Roman" w:hAnsi="Times New Roman" w:cs="Times New Roman"/>
                      <w:i/>
                      <w:iCs/>
                      <w:sz w:val="24"/>
                      <w:szCs w:val="24"/>
                      <w:lang w:eastAsia="bg-BG"/>
                    </w:rPr>
                    <w:t>/</w:t>
                  </w:r>
                  <w:r w:rsidRPr="00DD5653">
                    <w:rPr>
                      <w:rFonts w:ascii="Times New Roman" w:eastAsia="Times New Roman" w:hAnsi="Times New Roman" w:cs="Times New Roman"/>
                      <w:sz w:val="24"/>
                      <w:szCs w:val="24"/>
                      <w:lang w:eastAsia="bg-BG"/>
                    </w:rPr>
                    <w:t> Максимален брой: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DD5653">
                    <w:rPr>
                      <w:rFonts w:ascii="Times New Roman" w:eastAsia="Times New Roman" w:hAnsi="Times New Roman" w:cs="Times New Roman"/>
                      <w:sz w:val="24"/>
                      <w:szCs w:val="24"/>
                      <w:lang w:eastAsia="bg-BG"/>
                    </w:rPr>
                    <w:t>кандиадти</w:t>
                  </w:r>
                  <w:proofErr w:type="spellEnd"/>
                  <w:r w:rsidRPr="00DD5653">
                    <w:rPr>
                      <w:rFonts w:ascii="Times New Roman" w:eastAsia="Times New Roman" w:hAnsi="Times New Roman" w:cs="Times New Roman"/>
                      <w:sz w:val="24"/>
                      <w:szCs w:val="24"/>
                      <w:lang w:eastAsia="bg-BG"/>
                    </w:rPr>
                    <w:t>: </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b/>
                      <w:bCs/>
                      <w:sz w:val="24"/>
                      <w:szCs w:val="24"/>
                      <w:lang w:eastAsia="bg-BG"/>
                    </w:rPr>
                    <w:t>II.2.10) Информация относно вариантите</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sz w:val="24"/>
                      <w:szCs w:val="24"/>
                      <w:lang w:eastAsia="bg-BG"/>
                    </w:rPr>
                    <w:lastRenderedPageBreak/>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b/>
                      <w:bCs/>
                      <w:sz w:val="24"/>
                      <w:szCs w:val="24"/>
                      <w:lang w:eastAsia="bg-BG"/>
                    </w:rPr>
                    <w:lastRenderedPageBreak/>
                    <w:t>II.2.11) Информация относно опциите</w:t>
                  </w:r>
                  <w:r w:rsidRPr="00DD5653">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br/>
                    <w:t>Описание на опциите: </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II.2.12) Информация относно електронни каталози</w:t>
                  </w:r>
                  <w:r w:rsidRPr="00DD5653">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DD5653">
                    <w:rPr>
                      <w:rFonts w:ascii="Courier New" w:eastAsia="Times New Roman" w:hAnsi="Courier New" w:cs="Courier New"/>
                      <w:sz w:val="20"/>
                      <w:lang w:eastAsia="bg-BG"/>
                    </w:rPr>
                    <w:t>НЕ</w:t>
                  </w: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b/>
                      <w:bCs/>
                      <w:sz w:val="24"/>
                      <w:szCs w:val="24"/>
                      <w:lang w:eastAsia="bg-BG"/>
                    </w:rPr>
                    <w:t>II.2.13) Информация относно средства от Европейския съюз</w:t>
                  </w:r>
                  <w:r w:rsidRPr="00DD5653">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r w:rsidR="00DD5653" w:rsidRPr="00DD5653" w:rsidT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II.2.14) Допълнителна информация</w:t>
                  </w:r>
                  <w:r w:rsidRPr="00DD5653">
                    <w:rPr>
                      <w:rFonts w:ascii="Times New Roman" w:eastAsia="Times New Roman" w:hAnsi="Times New Roman" w:cs="Times New Roman"/>
                      <w:sz w:val="24"/>
                      <w:szCs w:val="24"/>
                      <w:lang w:eastAsia="bg-BG"/>
                    </w:rPr>
                    <w:t>: </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rebuchet MS" w:eastAsia="Times New Roman" w:hAnsi="Trebuchet MS" w:cs="Times New Roman"/>
          <w:b/>
          <w:bCs/>
          <w:color w:val="000000"/>
          <w:lang w:eastAsia="bg-BG"/>
        </w:rPr>
      </w:pPr>
      <w:r w:rsidRPr="00DD5653">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III.1) Условия за участие</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Списък и кратко описание на условията: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Участниците трябва да бъдат вписани в Централния професионален регистър на строителя, съгласно Закона за камарата на строителите за изпълнение на строежи от „четвърта категория, втора група”, която да му позволява извършването на строителните работи, предмет на настоящата поръчка или еквивалентен документ за вписване на чуждестранните участници в съответен регистър на държава-членка на ЕС или на друга държава – страна по Споразумението за Европейското икономическо пространство.</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III.1.2) Икономическо и финансово състояние</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Списък и кратко описание на критериите за подбор: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1. Участникът следва да има застраховка „Професионална отговорност“, съгласно чл.171, ал.1 от ЗУТ. Изискването за застраховка за професионална отговорност на лицата по чл.171,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Изисквано минимално/ни ниво/а:</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1. Участникът следва да има застраховка „Професионална отговорност“, съгласно чл.171, ал.1 от ЗУТ. Минималната застрахователна сума/застрахователното покритие да съответства за обекти четвърта категория. Застраховката трябва да е в сила към датата на подаване на офертата.</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III.1.3) Технически и професионални възможности</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Списък и кратко описание на критериите за подбор: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1. През последните 5 години, считано от датата на подаване на офертата, участникът да има опит в изпълнение строителство с предмет и обем, идентични или сходни с тази на поръчката.</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2. Участникът в откритата процедура трябва да докаже, че разполага с необходимите специалисти 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3. Участникът трябва да има система за управление на качеството ISO 9001:2015 или еквивалент или други доказателства за еквивалентни мерки за осигуряване на качеството, с обхват строителство.</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4. Участникът трябва да има система за управление на околната среда ISO 14001:2015 или еквивалент или други доказателства за еквивалентни мерки за опазване на околната среда, с обхват строителство.</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Изисквано минимално/ни ниво/а:</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 xml:space="preserve">1. През последните 5 години, считано от датата на подаване на офертата, участникът да има опит в изграждане и/или рехабилитация и/или реконструкция на улична мрежа в градска среда, (в т.ч. асфалтиране и направа на тротоари), съгласно предмета на поръчката и отговарящи на изискванията за поне ІV-та категория </w:t>
            </w:r>
            <w:proofErr w:type="spellStart"/>
            <w:r w:rsidRPr="00DD5653">
              <w:rPr>
                <w:rFonts w:ascii="Courier New" w:eastAsia="Times New Roman" w:hAnsi="Courier New" w:cs="Courier New"/>
                <w:sz w:val="20"/>
                <w:lang w:eastAsia="bg-BG"/>
              </w:rPr>
              <w:t>стороежи</w:t>
            </w:r>
            <w:proofErr w:type="spellEnd"/>
            <w:r w:rsidRPr="00DD5653">
              <w:rPr>
                <w:rFonts w:ascii="Courier New" w:eastAsia="Times New Roman" w:hAnsi="Courier New" w:cs="Courier New"/>
                <w:sz w:val="20"/>
                <w:lang w:eastAsia="bg-BG"/>
              </w:rPr>
              <w:t xml:space="preserve"> по ЗУТ.</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2. Ключови експерти необходими за изпълнението на строителството:</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lastRenderedPageBreak/>
              <w:t>Ръководител обект: да е бил ръководител на поне два строителни обекта с предмет и обем, идентичен или сходен, с този на поръчката; Геодезист - да има опит като Геодезист на поне един обект с предмет и обем, идентичен или сходен, с този на поръчката. Технически ръководител на обекта – минимум двама, които да имат опит като технически ръководители (по смисъла на чл. 163а, ал.4 от ЗУТ) на поне един обект с предмет и обем, идентичен или сходен, с този на поръчката; Експерт „Контрол по качеството“ - да притежава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Да има опит като експерт „Контрол по качеството“ на поне един обект с предмет и обем, идентичен или сходен, с този на поръчката.</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 xml:space="preserve">Експерт по безопасност и здраве в строителството - да притежава валидно удостоверение за „Експерт за безопасност и здраве” съгласно Наредба № РД-07- 2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Да има опит като експерт „БЗС“ на обект с предмет и обем, идентичен или сходен, с този на поръчката. Експерт по опазване на околна среда - да има опит като Експерт по опазване на околна среда на обект с предмет и обем, идентичен или сходен, с този на поръчката. *Под „обект с предмет и обем, идентичен или сходен, с този на поръчката“ да се разбира изграждане и/или рехабилитация и/или реконструкция на улична мрежа в градска среда (в т.ч. асфалтиране и направа на тротоари), съгласно предмета на поръчката и отговарящи на изискванията за поне ІV-та категория </w:t>
            </w:r>
            <w:proofErr w:type="spellStart"/>
            <w:r w:rsidRPr="00DD5653">
              <w:rPr>
                <w:rFonts w:ascii="Courier New" w:eastAsia="Times New Roman" w:hAnsi="Courier New" w:cs="Courier New"/>
                <w:sz w:val="20"/>
                <w:lang w:eastAsia="bg-BG"/>
              </w:rPr>
              <w:t>стороежи</w:t>
            </w:r>
            <w:proofErr w:type="spellEnd"/>
            <w:r w:rsidRPr="00DD5653">
              <w:rPr>
                <w:rFonts w:ascii="Courier New" w:eastAsia="Times New Roman" w:hAnsi="Courier New" w:cs="Courier New"/>
                <w:sz w:val="20"/>
                <w:lang w:eastAsia="bg-BG"/>
              </w:rPr>
              <w:t xml:space="preserve"> по ЗУТ. Забележка: *Едно физическо лице може да изпълнява функциите само на един експерт.</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3. Участникът трябва да има система за управление на качеството ISO 9001:2015 или еквивалент или други доказателства за еквивалентни мерки за осигуряване на качеството, с обхват строителство.</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4. Участникът трябва да има система за управление на околната среда ISO 14001:2015 или еквивалент или други доказателства за еквивалентни мерки за опазване на околната среда, с обхват строителство.</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lastRenderedPageBreak/>
              <w:t>III.1.5) Информация относно запазени поръчки</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DD5653">
              <w:rPr>
                <w:rFonts w:ascii="Courier New" w:eastAsia="Times New Roman" w:hAnsi="Courier New" w:cs="Courier New"/>
                <w:sz w:val="20"/>
                <w:lang w:eastAsia="bg-BG"/>
              </w:rPr>
              <w:t>НЕ</w:t>
            </w:r>
          </w:p>
        </w:tc>
      </w:tr>
    </w:tbl>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III.2) Условия във връзка с поръчката </w:t>
      </w:r>
      <w:r w:rsidRPr="00DD5653">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III.2.1) Информация относно определена професия</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(само за поръчки за услуги)</w:t>
            </w:r>
            <w:r w:rsidRPr="00DD5653">
              <w:rPr>
                <w:rFonts w:ascii="Times New Roman" w:eastAsia="Times New Roman" w:hAnsi="Times New Roman" w:cs="Times New Roman"/>
                <w:sz w:val="24"/>
                <w:szCs w:val="24"/>
                <w:lang w:eastAsia="bg-BG"/>
              </w:rPr>
              <w:br/>
            </w:r>
            <w:proofErr w:type="spellStart"/>
            <w:r w:rsidRPr="00DD5653">
              <w:rPr>
                <w:rFonts w:ascii="Times New Roman" w:eastAsia="Times New Roman" w:hAnsi="Times New Roman" w:cs="Times New Roman"/>
                <w:sz w:val="24"/>
                <w:szCs w:val="24"/>
                <w:lang w:eastAsia="bg-BG"/>
              </w:rPr>
              <w:t>Изпълненито</w:t>
            </w:r>
            <w:proofErr w:type="spellEnd"/>
            <w:r w:rsidRPr="00DD5653">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 </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III.2.2) Условия за изпълнение на поръчката</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На основание чл. 114 от ЗОП възложителят предвижда отложено изпълнение на договора.</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Възложителят отстранява от участие, участник при наличие на обстоятелства по чл. 54, ал.1 и чл. 55, ал. 1 от ЗОП и: участник, подал оферта, която не отговаря на условията за представяне, включително за форма, начин и срок; участник, който не е представил в срок обосновката по чл. 72, ал. 1 от ЗОП или чиято оферта не е приета съгласно чл. 72, ал. 3 – 5 от ЗОП; участници, които са свързани лица; участник, който е предложил цена за изпълнение на поръчката, по-висока от определената в обявлението от Възложителя; участник, който след покана от Възложителя не удължи в определен срок валидността на офертата си; участник, на който пликът с наименование „Предлагани ценови параметри” /ценовото предложение/ е незапечатан или прозрачен.</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DD5653">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DD5653">
              <w:rPr>
                <w:rFonts w:ascii="Courier New" w:eastAsia="Times New Roman" w:hAnsi="Courier New" w:cs="Courier New"/>
                <w:sz w:val="20"/>
                <w:lang w:eastAsia="bg-BG"/>
              </w:rPr>
              <w:t>НЕ</w:t>
            </w:r>
          </w:p>
        </w:tc>
      </w:tr>
    </w:tbl>
    <w:p w:rsidR="00DD5653" w:rsidRPr="00DD5653" w:rsidRDefault="00DD5653" w:rsidP="00DD5653">
      <w:pPr>
        <w:spacing w:after="0" w:line="240" w:lineRule="auto"/>
        <w:rPr>
          <w:rFonts w:ascii="Trebuchet MS" w:eastAsia="Times New Roman" w:hAnsi="Trebuchet MS" w:cs="Times New Roman"/>
          <w:b/>
          <w:bCs/>
          <w:color w:val="000000"/>
          <w:lang w:eastAsia="bg-BG"/>
        </w:rPr>
      </w:pPr>
      <w:r w:rsidRPr="00DD5653">
        <w:rPr>
          <w:rFonts w:ascii="Trebuchet MS" w:eastAsia="Times New Roman" w:hAnsi="Trebuchet MS" w:cs="Times New Roman"/>
          <w:b/>
          <w:bCs/>
          <w:color w:val="000000"/>
          <w:lang w:eastAsia="bg-BG"/>
        </w:rPr>
        <w:t> Раздел IV:Процедура </w:t>
      </w: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b/>
                            <w:bCs/>
                            <w:sz w:val="20"/>
                            <w:szCs w:val="20"/>
                            <w:lang w:eastAsia="bg-BG"/>
                          </w:rPr>
                        </w:pPr>
                        <w:r w:rsidRPr="00DD5653">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tblPr>
                        <w:tblGrid>
                          <w:gridCol w:w="2077"/>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Открита процедура</w:t>
                              </w:r>
                            </w:p>
                          </w:tc>
                        </w:tr>
                      </w:tbl>
                      <w:p w:rsidR="00DD5653" w:rsidRPr="00DD5653" w:rsidRDefault="00DD5653" w:rsidP="00DD5653">
                        <w:pPr>
                          <w:spacing w:after="0" w:line="240" w:lineRule="auto"/>
                          <w:rPr>
                            <w:rFonts w:ascii="Courier New" w:eastAsia="Times New Roman" w:hAnsi="Courier New" w:cs="Courier New"/>
                            <w:b/>
                            <w:bCs/>
                            <w:sz w:val="24"/>
                            <w:szCs w:val="24"/>
                            <w:lang w:eastAsia="bg-BG"/>
                          </w:rPr>
                        </w:pPr>
                      </w:p>
                    </w:tc>
                  </w:tr>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Ускорена процедура: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br/>
                          <w:t>Обосновка за избор на ускорена процедура: </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 xml:space="preserve">IV.1.3) Информация относно рамково </w:t>
            </w:r>
            <w:proofErr w:type="spellStart"/>
            <w:r w:rsidRPr="00DD5653">
              <w:rPr>
                <w:rFonts w:ascii="Times New Roman" w:eastAsia="Times New Roman" w:hAnsi="Times New Roman" w:cs="Times New Roman"/>
                <w:b/>
                <w:bCs/>
                <w:sz w:val="24"/>
                <w:szCs w:val="24"/>
                <w:lang w:eastAsia="bg-BG"/>
              </w:rPr>
              <w:t>споразмение</w:t>
            </w:r>
            <w:proofErr w:type="spellEnd"/>
            <w:r w:rsidRPr="00DD5653">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DD5653">
                    <w:rPr>
                      <w:rFonts w:ascii="Courier New" w:eastAsia="Times New Roman" w:hAnsi="Courier New" w:cs="Courier New"/>
                      <w:sz w:val="20"/>
                      <w:lang w:eastAsia="bg-BG"/>
                    </w:rPr>
                    <w:t>НЕ</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lastRenderedPageBreak/>
                    <w:br/>
                    <w:t>Тази обществена поръчка обхваща създаването на динамична система за покупки: </w:t>
                  </w:r>
                  <w:r w:rsidRPr="00DD5653">
                    <w:rPr>
                      <w:rFonts w:ascii="Courier New" w:eastAsia="Times New Roman" w:hAnsi="Courier New" w:cs="Courier New"/>
                      <w:sz w:val="20"/>
                      <w:lang w:eastAsia="bg-BG"/>
                    </w:rPr>
                    <w:t>НЕ</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DD5653">
                    <w:rPr>
                      <w:rFonts w:ascii="Courier New" w:eastAsia="Times New Roman" w:hAnsi="Courier New" w:cs="Courier New"/>
                      <w:sz w:val="20"/>
                      <w:lang w:eastAsia="bg-BG"/>
                    </w:rPr>
                    <w:t>НЕ</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lastRenderedPageBreak/>
              <w:t>IV.1.4) Информация относно намаляване на броя на решенията или офертите по време на договарянето или на диалога</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DD5653">
              <w:rPr>
                <w:rFonts w:ascii="Courier New" w:eastAsia="Times New Roman" w:hAnsi="Courier New" w:cs="Courier New"/>
                <w:sz w:val="20"/>
                <w:lang w:eastAsia="bg-BG"/>
              </w:rPr>
              <w:t>НЕ</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IV.1.5) Информация относно договаряне </w:t>
            </w:r>
            <w:r w:rsidRPr="00DD5653">
              <w:rPr>
                <w:rFonts w:ascii="Times New Roman" w:eastAsia="Times New Roman" w:hAnsi="Times New Roman" w:cs="Times New Roman"/>
                <w:i/>
                <w:iCs/>
                <w:sz w:val="24"/>
                <w:szCs w:val="24"/>
                <w:lang w:eastAsia="bg-BG"/>
              </w:rPr>
              <w:t>(само за състезателни процедури с договаряне)</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DD5653">
              <w:rPr>
                <w:rFonts w:ascii="Courier New" w:eastAsia="Times New Roman" w:hAnsi="Courier New" w:cs="Courier New"/>
                <w:sz w:val="20"/>
                <w:lang w:eastAsia="bg-BG"/>
              </w:rPr>
              <w:t>НЕ</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IV.1.6) Информация относно електронния търг</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Ще се използва електронен търг: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br/>
              <w:t>Допълнителна информация относно електронния търг: </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DD5653" w:rsidRPr="00DD565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Courier New" w:eastAsia="Times New Roman" w:hAnsi="Courier New" w:cs="Courier New"/>
                      <w:sz w:val="24"/>
                      <w:szCs w:val="24"/>
                      <w:lang w:eastAsia="bg-BG"/>
                    </w:rPr>
                  </w:pP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IV.2) Административна информация</w:t>
      </w:r>
      <w:r w:rsidRPr="00DD5653">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IV.2.1) Предишна публикация относно тази процедура </w:t>
            </w:r>
            <w:r w:rsidRPr="00DD5653">
              <w:rPr>
                <w:rFonts w:ascii="Times New Roman" w:eastAsia="Times New Roman" w:hAnsi="Times New Roman" w:cs="Times New Roman"/>
                <w:sz w:val="24"/>
                <w:szCs w:val="24"/>
                <w:vertAlign w:val="superscript"/>
                <w:lang w:eastAsia="bg-BG"/>
              </w:rPr>
              <w:t>2</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Номер на обявлението в ОВ на ЕС: </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DD5653">
              <w:rPr>
                <w:rFonts w:ascii="Times New Roman" w:eastAsia="Times New Roman" w:hAnsi="Times New Roman" w:cs="Times New Roman"/>
                <w:sz w:val="24"/>
                <w:szCs w:val="24"/>
                <w:lang w:eastAsia="bg-BG"/>
              </w:rPr>
              <w:br/>
              <w:t>Номер на обявлението в РОП:</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Дата: </w:t>
            </w:r>
            <w:r w:rsidRPr="00DD5653">
              <w:rPr>
                <w:rFonts w:ascii="Courier New" w:eastAsia="Times New Roman" w:hAnsi="Courier New" w:cs="Courier New"/>
                <w:sz w:val="20"/>
                <w:lang w:eastAsia="bg-BG"/>
              </w:rPr>
              <w:t>20/06/2019</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дд</w:t>
            </w:r>
            <w:proofErr w:type="spellEnd"/>
            <w:r w:rsidRPr="00DD5653">
              <w:rPr>
                <w:rFonts w:ascii="Times New Roman" w:eastAsia="Times New Roman" w:hAnsi="Times New Roman" w:cs="Times New Roman"/>
                <w:i/>
                <w:iCs/>
                <w:sz w:val="24"/>
                <w:szCs w:val="24"/>
                <w:lang w:eastAsia="bg-BG"/>
              </w:rPr>
              <w:t>/мм/</w:t>
            </w:r>
            <w:proofErr w:type="spellStart"/>
            <w:r w:rsidRPr="00DD5653">
              <w:rPr>
                <w:rFonts w:ascii="Times New Roman" w:eastAsia="Times New Roman" w:hAnsi="Times New Roman" w:cs="Times New Roman"/>
                <w:i/>
                <w:iCs/>
                <w:sz w:val="24"/>
                <w:szCs w:val="24"/>
                <w:lang w:eastAsia="bg-BG"/>
              </w:rPr>
              <w:t>гггг</w:t>
            </w:r>
            <w:proofErr w:type="spellEnd"/>
            <w:r w:rsidRPr="00DD5653">
              <w:rPr>
                <w:rFonts w:ascii="Times New Roman" w:eastAsia="Times New Roman" w:hAnsi="Times New Roman" w:cs="Times New Roman"/>
                <w:i/>
                <w:iCs/>
                <w:sz w:val="24"/>
                <w:szCs w:val="24"/>
                <w:lang w:eastAsia="bg-BG"/>
              </w:rPr>
              <w:t>)</w:t>
            </w:r>
            <w:r w:rsidRPr="00DD5653">
              <w:rPr>
                <w:rFonts w:ascii="Times New Roman" w:eastAsia="Times New Roman" w:hAnsi="Times New Roman" w:cs="Times New Roman"/>
                <w:sz w:val="24"/>
                <w:szCs w:val="24"/>
                <w:lang w:eastAsia="bg-BG"/>
              </w:rPr>
              <w:t>   Местно време: </w:t>
            </w:r>
            <w:r w:rsidRPr="00DD5653">
              <w:rPr>
                <w:rFonts w:ascii="Courier New" w:eastAsia="Times New Roman" w:hAnsi="Courier New" w:cs="Courier New"/>
                <w:sz w:val="20"/>
                <w:lang w:eastAsia="bg-BG"/>
              </w:rPr>
              <w:t>17:00</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чч</w:t>
            </w:r>
            <w:proofErr w:type="spellEnd"/>
            <w:r w:rsidRPr="00DD5653">
              <w:rPr>
                <w:rFonts w:ascii="Times New Roman" w:eastAsia="Times New Roman" w:hAnsi="Times New Roman" w:cs="Times New Roman"/>
                <w:i/>
                <w:iCs/>
                <w:sz w:val="24"/>
                <w:szCs w:val="24"/>
                <w:lang w:eastAsia="bg-BG"/>
              </w:rPr>
              <w:t>:мм)</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DD5653">
              <w:rPr>
                <w:rFonts w:ascii="Times New Roman" w:eastAsia="Times New Roman" w:hAnsi="Times New Roman" w:cs="Times New Roman"/>
                <w:sz w:val="24"/>
                <w:szCs w:val="24"/>
                <w:vertAlign w:val="superscript"/>
                <w:lang w:eastAsia="bg-BG"/>
              </w:rPr>
              <w:t>4</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Дата:    </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DD5653">
              <w:rPr>
                <w:rFonts w:ascii="Times New Roman" w:eastAsia="Times New Roman" w:hAnsi="Times New Roman" w:cs="Times New Roman"/>
                <w:sz w:val="24"/>
                <w:szCs w:val="24"/>
                <w:vertAlign w:val="superscript"/>
                <w:lang w:eastAsia="bg-BG"/>
              </w:rPr>
              <w:t>1</w:t>
            </w:r>
            <w:r w:rsidRPr="00DD5653">
              <w:rPr>
                <w:rFonts w:ascii="Times New Roman" w:eastAsia="Times New Roman" w:hAnsi="Times New Roman" w:cs="Times New Roman"/>
                <w:sz w:val="24"/>
                <w:szCs w:val="24"/>
                <w:lang w:eastAsia="bg-BG"/>
              </w:rPr>
              <w:t>  </w:t>
            </w:r>
            <w:r w:rsidRPr="00DD5653">
              <w:rPr>
                <w:rFonts w:ascii="Courier New" w:eastAsia="Times New Roman" w:hAnsi="Courier New" w:cs="Courier New"/>
                <w:sz w:val="20"/>
                <w:lang w:eastAsia="bg-BG"/>
              </w:rPr>
              <w:t>BG</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 xml:space="preserve">IV.2.6) Минимален срок, през който </w:t>
            </w:r>
            <w:proofErr w:type="spellStart"/>
            <w:r w:rsidRPr="00DD5653">
              <w:rPr>
                <w:rFonts w:ascii="Times New Roman" w:eastAsia="Times New Roman" w:hAnsi="Times New Roman" w:cs="Times New Roman"/>
                <w:b/>
                <w:bCs/>
                <w:sz w:val="24"/>
                <w:szCs w:val="24"/>
                <w:lang w:eastAsia="bg-BG"/>
              </w:rPr>
              <w:t>оферентът</w:t>
            </w:r>
            <w:proofErr w:type="spellEnd"/>
            <w:r w:rsidRPr="00DD5653">
              <w:rPr>
                <w:rFonts w:ascii="Times New Roman" w:eastAsia="Times New Roman" w:hAnsi="Times New Roman" w:cs="Times New Roman"/>
                <w:b/>
                <w:bCs/>
                <w:sz w:val="24"/>
                <w:szCs w:val="24"/>
                <w:lang w:eastAsia="bg-BG"/>
              </w:rPr>
              <w:t xml:space="preserve"> е обвързан от офертата</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Офертата трябва да бъде валидна до: </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i/>
                <w:iCs/>
                <w:sz w:val="24"/>
                <w:szCs w:val="24"/>
                <w:lang w:eastAsia="bg-BG"/>
              </w:rPr>
              <w:t>или </w:t>
            </w:r>
            <w:r w:rsidRPr="00DD5653">
              <w:rPr>
                <w:rFonts w:ascii="Times New Roman" w:eastAsia="Times New Roman" w:hAnsi="Times New Roman" w:cs="Times New Roman"/>
                <w:sz w:val="24"/>
                <w:szCs w:val="24"/>
                <w:lang w:eastAsia="bg-BG"/>
              </w:rPr>
              <w:t>Продължителност в месеци: </w:t>
            </w:r>
            <w:r w:rsidRPr="00DD5653">
              <w:rPr>
                <w:rFonts w:ascii="Courier New" w:eastAsia="Times New Roman" w:hAnsi="Courier New" w:cs="Courier New"/>
                <w:sz w:val="20"/>
                <w:lang w:eastAsia="bg-BG"/>
              </w:rPr>
              <w:t>6</w:t>
            </w:r>
          </w:p>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before="100" w:beforeAutospacing="1" w:after="100" w:afterAutospacing="1"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IV.2.7) Условия за отваряне на офертите</w:t>
            </w:r>
          </w:p>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Дата: </w:t>
            </w:r>
            <w:r w:rsidRPr="00DD5653">
              <w:rPr>
                <w:rFonts w:ascii="Courier New" w:eastAsia="Times New Roman" w:hAnsi="Courier New" w:cs="Courier New"/>
                <w:sz w:val="20"/>
                <w:lang w:eastAsia="bg-BG"/>
              </w:rPr>
              <w:t>21/06/2019</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дд</w:t>
            </w:r>
            <w:proofErr w:type="spellEnd"/>
            <w:r w:rsidRPr="00DD5653">
              <w:rPr>
                <w:rFonts w:ascii="Times New Roman" w:eastAsia="Times New Roman" w:hAnsi="Times New Roman" w:cs="Times New Roman"/>
                <w:i/>
                <w:iCs/>
                <w:sz w:val="24"/>
                <w:szCs w:val="24"/>
                <w:lang w:eastAsia="bg-BG"/>
              </w:rPr>
              <w:t>/мм/</w:t>
            </w:r>
            <w:proofErr w:type="spellStart"/>
            <w:r w:rsidRPr="00DD5653">
              <w:rPr>
                <w:rFonts w:ascii="Times New Roman" w:eastAsia="Times New Roman" w:hAnsi="Times New Roman" w:cs="Times New Roman"/>
                <w:i/>
                <w:iCs/>
                <w:sz w:val="24"/>
                <w:szCs w:val="24"/>
                <w:lang w:eastAsia="bg-BG"/>
              </w:rPr>
              <w:t>гггг</w:t>
            </w:r>
            <w:proofErr w:type="spellEnd"/>
            <w:r w:rsidRPr="00DD5653">
              <w:rPr>
                <w:rFonts w:ascii="Times New Roman" w:eastAsia="Times New Roman" w:hAnsi="Times New Roman" w:cs="Times New Roman"/>
                <w:i/>
                <w:iCs/>
                <w:sz w:val="24"/>
                <w:szCs w:val="24"/>
                <w:lang w:eastAsia="bg-BG"/>
              </w:rPr>
              <w:t>)</w:t>
            </w:r>
            <w:r w:rsidRPr="00DD5653">
              <w:rPr>
                <w:rFonts w:ascii="Times New Roman" w:eastAsia="Times New Roman" w:hAnsi="Times New Roman" w:cs="Times New Roman"/>
                <w:sz w:val="24"/>
                <w:szCs w:val="24"/>
                <w:lang w:eastAsia="bg-BG"/>
              </w:rPr>
              <w:t>   Местно време: </w:t>
            </w:r>
            <w:r w:rsidRPr="00DD5653">
              <w:rPr>
                <w:rFonts w:ascii="Courier New" w:eastAsia="Times New Roman" w:hAnsi="Courier New" w:cs="Courier New"/>
                <w:sz w:val="20"/>
                <w:lang w:eastAsia="bg-BG"/>
              </w:rPr>
              <w:t>11:00</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i/>
                <w:iCs/>
                <w:sz w:val="24"/>
                <w:szCs w:val="24"/>
                <w:lang w:eastAsia="bg-BG"/>
              </w:rPr>
              <w:t>(</w:t>
            </w:r>
            <w:proofErr w:type="spellStart"/>
            <w:r w:rsidRPr="00DD5653">
              <w:rPr>
                <w:rFonts w:ascii="Times New Roman" w:eastAsia="Times New Roman" w:hAnsi="Times New Roman" w:cs="Times New Roman"/>
                <w:i/>
                <w:iCs/>
                <w:sz w:val="24"/>
                <w:szCs w:val="24"/>
                <w:lang w:eastAsia="bg-BG"/>
              </w:rPr>
              <w:t>чч</w:t>
            </w:r>
            <w:proofErr w:type="spellEnd"/>
            <w:r w:rsidRPr="00DD5653">
              <w:rPr>
                <w:rFonts w:ascii="Times New Roman" w:eastAsia="Times New Roman" w:hAnsi="Times New Roman" w:cs="Times New Roman"/>
                <w:i/>
                <w:iCs/>
                <w:sz w:val="24"/>
                <w:szCs w:val="24"/>
                <w:lang w:eastAsia="bg-BG"/>
              </w:rPr>
              <w:t>:мм)</w:t>
            </w:r>
            <w:r w:rsidRPr="00DD5653">
              <w:rPr>
                <w:rFonts w:ascii="Times New Roman" w:eastAsia="Times New Roman" w:hAnsi="Times New Roman" w:cs="Times New Roman"/>
                <w:sz w:val="24"/>
                <w:szCs w:val="24"/>
                <w:lang w:eastAsia="bg-BG"/>
              </w:rPr>
              <w:br/>
            </w:r>
            <w:r w:rsidRPr="00DD5653">
              <w:rPr>
                <w:rFonts w:ascii="Times New Roman" w:eastAsia="Times New Roman" w:hAnsi="Times New Roman" w:cs="Times New Roman"/>
                <w:sz w:val="24"/>
                <w:szCs w:val="24"/>
                <w:lang w:eastAsia="bg-BG"/>
              </w:rPr>
              <w:lastRenderedPageBreak/>
              <w:t>Място: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В заседателна зала №14,ет.2 в сградата на община Симеоновград,пл.Шейновски № 3, гр.Симеоновград.</w:t>
            </w:r>
            <w:r w:rsidRPr="00DD5653">
              <w:rPr>
                <w:rFonts w:ascii="Times New Roman" w:eastAsia="Times New Roman" w:hAnsi="Times New Roman" w:cs="Times New Roman"/>
                <w:sz w:val="24"/>
                <w:szCs w:val="24"/>
                <w:lang w:eastAsia="bg-BG"/>
              </w:rPr>
              <w:br/>
              <w:t>Информация относно упълномощените лица и процедурата на отваряне: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DD5653" w:rsidRPr="00DD5653" w:rsidRDefault="00DD5653" w:rsidP="00DD5653">
      <w:pPr>
        <w:spacing w:after="0" w:line="240" w:lineRule="auto"/>
        <w:rPr>
          <w:rFonts w:ascii="Trebuchet MS" w:eastAsia="Times New Roman" w:hAnsi="Trebuchet MS" w:cs="Times New Roman"/>
          <w:b/>
          <w:bCs/>
          <w:color w:val="000000"/>
          <w:lang w:eastAsia="bg-BG"/>
        </w:rPr>
      </w:pPr>
      <w:r w:rsidRPr="00DD5653">
        <w:rPr>
          <w:rFonts w:ascii="Trebuchet MS" w:eastAsia="Times New Roman" w:hAnsi="Trebuchet MS" w:cs="Times New Roman"/>
          <w:b/>
          <w:bCs/>
          <w:color w:val="000000"/>
          <w:lang w:eastAsia="bg-BG"/>
        </w:rPr>
        <w:lastRenderedPageBreak/>
        <w:t> Раздел VI: Допълнителна информация</w:t>
      </w:r>
    </w:p>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Courier New" w:eastAsia="Times New Roman" w:hAnsi="Courier New" w:cs="Courier New"/>
                <w:sz w:val="20"/>
                <w:szCs w:val="20"/>
                <w:lang w:eastAsia="bg-BG"/>
              </w:rPr>
            </w:pPr>
            <w:r w:rsidRPr="00DD5653">
              <w:rPr>
                <w:rFonts w:ascii="Times New Roman" w:eastAsia="Times New Roman" w:hAnsi="Times New Roman" w:cs="Times New Roman"/>
                <w:sz w:val="24"/>
                <w:szCs w:val="24"/>
                <w:lang w:eastAsia="bg-BG"/>
              </w:rPr>
              <w:t xml:space="preserve">Това </w:t>
            </w:r>
            <w:proofErr w:type="spellStart"/>
            <w:r w:rsidRPr="00DD5653">
              <w:rPr>
                <w:rFonts w:ascii="Times New Roman" w:eastAsia="Times New Roman" w:hAnsi="Times New Roman" w:cs="Times New Roman"/>
                <w:sz w:val="24"/>
                <w:szCs w:val="24"/>
                <w:lang w:eastAsia="bg-BG"/>
              </w:rPr>
              <w:t>представялява</w:t>
            </w:r>
            <w:proofErr w:type="spellEnd"/>
            <w:r w:rsidRPr="00DD5653">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DD5653" w:rsidRPr="00DD5653">
              <w:trPr>
                <w:tblCellSpacing w:w="15" w:type="dxa"/>
              </w:trPr>
              <w:tc>
                <w:tcPr>
                  <w:tcW w:w="0" w:type="auto"/>
                  <w:tcBorders>
                    <w:top w:val="nil"/>
                    <w:left w:val="nil"/>
                    <w:bottom w:val="nil"/>
                    <w:right w:val="nil"/>
                  </w:tcBorders>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не</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DD5653">
              <w:rPr>
                <w:rFonts w:ascii="Times New Roman" w:eastAsia="Times New Roman" w:hAnsi="Times New Roman" w:cs="Times New Roman"/>
                <w:sz w:val="24"/>
                <w:szCs w:val="24"/>
                <w:vertAlign w:val="superscript"/>
                <w:lang w:eastAsia="bg-BG"/>
              </w:rPr>
              <w:t>2</w:t>
            </w:r>
            <w:r w:rsidRPr="00DD5653">
              <w:rPr>
                <w:rFonts w:ascii="Times New Roman" w:eastAsia="Times New Roman" w:hAnsi="Times New Roman" w:cs="Times New Roman"/>
                <w:sz w:val="24"/>
                <w:szCs w:val="24"/>
                <w:lang w:eastAsia="bg-BG"/>
              </w:rPr>
              <w:t> </w:t>
            </w:r>
          </w:p>
        </w:tc>
      </w:tr>
    </w:tbl>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Ще се прилага електронно поръчване: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br/>
              <w:t>Ще се използва електронно фактуриране: </w:t>
            </w:r>
            <w:r w:rsidRPr="00DD5653">
              <w:rPr>
                <w:rFonts w:ascii="Courier New" w:eastAsia="Times New Roman" w:hAnsi="Courier New" w:cs="Courier New"/>
                <w:sz w:val="20"/>
                <w:lang w:eastAsia="bg-BG"/>
              </w:rPr>
              <w:t>НЕ</w:t>
            </w:r>
            <w:r w:rsidRPr="00DD5653">
              <w:rPr>
                <w:rFonts w:ascii="Times New Roman" w:eastAsia="Times New Roman" w:hAnsi="Times New Roman" w:cs="Times New Roman"/>
                <w:sz w:val="24"/>
                <w:szCs w:val="24"/>
                <w:lang w:eastAsia="bg-BG"/>
              </w:rPr>
              <w:br/>
              <w:t>Ще се приема електронно заплащане: </w:t>
            </w:r>
            <w:r w:rsidRPr="00DD5653">
              <w:rPr>
                <w:rFonts w:ascii="Courier New" w:eastAsia="Times New Roman" w:hAnsi="Courier New" w:cs="Courier New"/>
                <w:sz w:val="20"/>
                <w:lang w:eastAsia="bg-BG"/>
              </w:rPr>
              <w:t>НЕ</w:t>
            </w:r>
          </w:p>
        </w:tc>
      </w:tr>
    </w:tbl>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VI.3) Допълнителна информация </w:t>
      </w:r>
      <w:r w:rsidRPr="00DD5653">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Courier New" w:eastAsia="Times New Roman" w:hAnsi="Courier New" w:cs="Courier New"/>
                <w:sz w:val="20"/>
                <w:lang w:eastAsia="bg-BG"/>
              </w:rPr>
              <w:t>1. Гаранцията за изпълнение на договора се представя от участника, определен за изпълнител на поръчката, при подписване на договора, в размер на 2 % (две на сто) от общата стойност за изпълнение на договора .Гаранцията за изпълнение се представя под формата на банкова гаранция - в оригинал, парична сума (оригинал на платежно нареждане) или застраховка (оригинал на полица), която обезпечава изпълнението чрез покритие на отговорността на изпълнителя. Ако гаранцията за изпълнение на договора се представя под формата на парична сума, тя се превежда по сметката на Община Симеоновград:</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 xml:space="preserve">Банка ДСК, клон Димитровград, сметка IBAN:BG16STSA 93003300701640, банков код STSABGSF, като банковите такси по превода са за сметка на </w:t>
            </w:r>
            <w:proofErr w:type="spellStart"/>
            <w:r w:rsidRPr="00DD5653">
              <w:rPr>
                <w:rFonts w:ascii="Courier New" w:eastAsia="Times New Roman" w:hAnsi="Courier New" w:cs="Courier New"/>
                <w:sz w:val="20"/>
                <w:lang w:eastAsia="bg-BG"/>
              </w:rPr>
              <w:t>наредителя</w:t>
            </w:r>
            <w:proofErr w:type="spellEnd"/>
            <w:r w:rsidRPr="00DD5653">
              <w:rPr>
                <w:rFonts w:ascii="Courier New" w:eastAsia="Times New Roman" w:hAnsi="Courier New" w:cs="Courier New"/>
                <w:sz w:val="20"/>
                <w:lang w:eastAsia="bg-BG"/>
              </w:rPr>
              <w:t>.</w:t>
            </w:r>
            <w:r w:rsidRPr="00DD5653">
              <w:rPr>
                <w:rFonts w:ascii="Courier New" w:eastAsia="Times New Roman" w:hAnsi="Courier New" w:cs="Courier New"/>
                <w:sz w:val="20"/>
                <w:szCs w:val="20"/>
                <w:lang w:eastAsia="bg-BG"/>
              </w:rPr>
              <w:br/>
            </w:r>
            <w:r w:rsidRPr="00DD5653">
              <w:rPr>
                <w:rFonts w:ascii="Courier New" w:eastAsia="Times New Roman" w:hAnsi="Courier New" w:cs="Courier New"/>
                <w:sz w:val="20"/>
                <w:lang w:eastAsia="bg-BG"/>
              </w:rPr>
              <w:t>2. ИЗПЪЛНИТЕЛЯТ следва да представи гаранция, която да обезпечи авансово предоставените средства по настоящия договор, в размер на 100 % (сто процента) от стойността й.</w:t>
            </w:r>
          </w:p>
        </w:tc>
      </w:tr>
    </w:tbl>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VI.4) Процедури по обжалване </w:t>
      </w:r>
    </w:p>
    <w:tbl>
      <w:tblPr>
        <w:tblW w:w="21600" w:type="dxa"/>
        <w:tblCellMar>
          <w:top w:w="15" w:type="dxa"/>
          <w:left w:w="15" w:type="dxa"/>
          <w:bottom w:w="15" w:type="dxa"/>
          <w:right w:w="15" w:type="dxa"/>
        </w:tblCellMar>
        <w:tblLook w:val="04A0"/>
      </w:tblPr>
      <w:tblGrid>
        <w:gridCol w:w="21766"/>
      </w:tblGrid>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DD5653" w:rsidRP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Официално наименование: </w:t>
                  </w:r>
                  <w:r w:rsidRPr="00DD5653">
                    <w:rPr>
                      <w:rFonts w:ascii="Courier New" w:eastAsia="Times New Roman" w:hAnsi="Courier New" w:cs="Courier New"/>
                      <w:sz w:val="20"/>
                      <w:lang w:eastAsia="bg-BG"/>
                    </w:rPr>
                    <w:t>Комисия за защита на конкуренцията</w:t>
                  </w:r>
                </w:p>
              </w:tc>
            </w:tr>
            <w:tr w:rsidR="00DD5653" w:rsidRP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адрес: </w:t>
                  </w:r>
                  <w:r w:rsidRPr="00DD5653">
                    <w:rPr>
                      <w:rFonts w:ascii="Courier New" w:eastAsia="Times New Roman" w:hAnsi="Courier New" w:cs="Courier New"/>
                      <w:sz w:val="20"/>
                      <w:lang w:eastAsia="bg-BG"/>
                    </w:rPr>
                    <w:t>бул. Витоша № 18</w:t>
                  </w:r>
                </w:p>
              </w:tc>
            </w:tr>
            <w:tr w:rsidR="00DD5653" w:rsidRP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Град: </w:t>
                  </w:r>
                  <w:r w:rsidRPr="00DD5653">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код: </w:t>
                  </w:r>
                  <w:r w:rsidRPr="00DD5653">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Държава: </w:t>
                  </w:r>
                  <w:r w:rsidRPr="00DD5653">
                    <w:rPr>
                      <w:rFonts w:ascii="Courier New" w:eastAsia="Times New Roman" w:hAnsi="Courier New" w:cs="Courier New"/>
                      <w:sz w:val="20"/>
                      <w:lang w:eastAsia="bg-BG"/>
                    </w:rPr>
                    <w:t>България</w:t>
                  </w:r>
                </w:p>
              </w:tc>
            </w:tr>
            <w:tr w:rsidR="00DD5653" w:rsidRP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Електронна поща: </w:t>
                  </w:r>
                  <w:r w:rsidRPr="00DD5653">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Телефон: </w:t>
                  </w:r>
                  <w:r w:rsidRPr="00DD5653">
                    <w:rPr>
                      <w:rFonts w:ascii="Courier New" w:eastAsia="Times New Roman" w:hAnsi="Courier New" w:cs="Courier New"/>
                      <w:sz w:val="20"/>
                      <w:lang w:eastAsia="bg-BG"/>
                    </w:rPr>
                    <w:t>+359 29884070</w:t>
                  </w:r>
                </w:p>
              </w:tc>
            </w:tr>
            <w:tr w:rsidR="00DD5653" w:rsidRP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Интернет адрес: </w:t>
                  </w:r>
                  <w:r w:rsidRPr="00DD5653">
                    <w:rPr>
                      <w:rFonts w:ascii="Times New Roman" w:eastAsia="Times New Roman" w:hAnsi="Times New Roman" w:cs="Times New Roman"/>
                      <w:i/>
                      <w:iCs/>
                      <w:sz w:val="24"/>
                      <w:szCs w:val="24"/>
                      <w:lang w:eastAsia="bg-BG"/>
                    </w:rPr>
                    <w:t>(URL)</w:t>
                  </w:r>
                  <w:r w:rsidRPr="00DD5653">
                    <w:rPr>
                      <w:rFonts w:ascii="Times New Roman" w:eastAsia="Times New Roman" w:hAnsi="Times New Roman" w:cs="Times New Roman"/>
                      <w:sz w:val="24"/>
                      <w:szCs w:val="24"/>
                      <w:lang w:eastAsia="bg-BG"/>
                    </w:rPr>
                    <w:t> </w:t>
                  </w:r>
                  <w:hyperlink r:id="rId10" w:tgtFrame="_blank" w:history="1">
                    <w:r w:rsidRPr="00DD5653">
                      <w:rPr>
                        <w:rFonts w:ascii="Courier New" w:eastAsia="Times New Roman" w:hAnsi="Courier New" w:cs="Courier New"/>
                        <w:color w:val="0000FF"/>
                        <w:sz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Факс: </w:t>
                  </w:r>
                  <w:r w:rsidRPr="00DD5653">
                    <w:rPr>
                      <w:rFonts w:ascii="Courier New" w:eastAsia="Times New Roman" w:hAnsi="Courier New" w:cs="Courier New"/>
                      <w:sz w:val="20"/>
                      <w:lang w:eastAsia="bg-BG"/>
                    </w:rPr>
                    <w:t>+359 29807315</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VI.4.2) Орган, който отговаря за процедурите по медиация</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DD5653" w:rsidRP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Официално наименование:</w:t>
                  </w:r>
                </w:p>
              </w:tc>
            </w:tr>
            <w:tr w:rsidR="00DD5653" w:rsidRP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адрес:</w:t>
                  </w:r>
                </w:p>
              </w:tc>
            </w:tr>
            <w:tr w:rsidR="00DD5653" w:rsidRP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Държава:</w:t>
                  </w:r>
                </w:p>
              </w:tc>
            </w:tr>
            <w:tr w:rsidR="00DD5653" w:rsidRP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Телефон:</w:t>
                  </w:r>
                </w:p>
              </w:tc>
            </w:tr>
            <w:tr w:rsidR="00DD5653" w:rsidRP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lastRenderedPageBreak/>
                    <w:t>Интернет адрес: </w:t>
                  </w:r>
                  <w:r w:rsidRPr="00DD565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Факс:</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lastRenderedPageBreak/>
              <w:t>VI.4.3) Подаване на жалби</w:t>
            </w:r>
            <w:r w:rsidRPr="00DD5653">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DD5653">
              <w:rPr>
                <w:rFonts w:ascii="Times New Roman" w:eastAsia="Times New Roman" w:hAnsi="Times New Roman" w:cs="Times New Roman"/>
                <w:sz w:val="24"/>
                <w:szCs w:val="24"/>
                <w:lang w:eastAsia="bg-BG"/>
              </w:rPr>
              <w:br/>
            </w:r>
            <w:r w:rsidRPr="00DD5653">
              <w:rPr>
                <w:rFonts w:ascii="Courier New" w:eastAsia="Times New Roman" w:hAnsi="Courier New" w:cs="Courier New"/>
                <w:sz w:val="20"/>
                <w:lang w:eastAsia="bg-BG"/>
              </w:rPr>
              <w:t>Съгласно чл.197, ал.1 от ЗОП.</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DD5653">
              <w:rPr>
                <w:rFonts w:ascii="Times New Roman" w:eastAsia="Times New Roman" w:hAnsi="Times New Roman" w:cs="Times New Roman"/>
                <w:sz w:val="24"/>
                <w:szCs w:val="24"/>
                <w:lang w:eastAsia="bg-BG"/>
              </w:rPr>
              <w:t> </w:t>
            </w:r>
            <w:r w:rsidRPr="00DD5653">
              <w:rPr>
                <w:rFonts w:ascii="Times New Roman" w:eastAsia="Times New Roman" w:hAnsi="Times New Roman" w:cs="Times New Roman"/>
                <w:sz w:val="24"/>
                <w:szCs w:val="24"/>
                <w:vertAlign w:val="superscript"/>
                <w:lang w:eastAsia="bg-BG"/>
              </w:rPr>
              <w:t>2</w:t>
            </w:r>
          </w:p>
        </w:tc>
      </w:tr>
      <w:tr w:rsidR="00DD5653" w:rsidRPr="00DD5653" w:rsidT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DD5653" w:rsidRP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Официално наименование:</w:t>
                  </w:r>
                </w:p>
              </w:tc>
            </w:tr>
            <w:tr w:rsidR="00DD5653" w:rsidRPr="00DD56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адрес:</w:t>
                  </w:r>
                </w:p>
              </w:tc>
            </w:tr>
            <w:tr w:rsidR="00DD5653" w:rsidRPr="00DD56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Държава:</w:t>
                  </w:r>
                </w:p>
              </w:tc>
            </w:tr>
            <w:tr w:rsidR="00DD5653" w:rsidRP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Телефон:</w:t>
                  </w:r>
                </w:p>
              </w:tc>
            </w:tr>
            <w:tr w:rsidR="00DD5653" w:rsidRPr="00DD56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Интернет адрес: </w:t>
                  </w:r>
                  <w:r w:rsidRPr="00DD565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lang w:eastAsia="bg-BG"/>
                    </w:rPr>
                    <w:t>Факс:</w:t>
                  </w:r>
                </w:p>
              </w:tc>
            </w:tr>
          </w:tbl>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bl>
    <w:p w:rsidR="00DD5653" w:rsidRPr="00DD5653" w:rsidRDefault="00DD5653" w:rsidP="00DD5653">
      <w:pPr>
        <w:spacing w:before="100" w:beforeAutospacing="1" w:after="100" w:afterAutospacing="1"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b/>
          <w:bCs/>
          <w:color w:val="000000"/>
          <w:sz w:val="18"/>
          <w:lang w:eastAsia="bg-BG"/>
        </w:rPr>
        <w:t>VI.5) Дата на изпращане на настоящото обявление: </w:t>
      </w:r>
      <w:r w:rsidRPr="00DD5653">
        <w:rPr>
          <w:rFonts w:ascii="Courier New" w:eastAsia="Times New Roman" w:hAnsi="Courier New" w:cs="Courier New"/>
          <w:color w:val="000000"/>
          <w:sz w:val="20"/>
          <w:lang w:eastAsia="bg-BG"/>
        </w:rPr>
        <w:t>21/05/2019</w:t>
      </w:r>
      <w:r w:rsidRPr="00DD5653">
        <w:rPr>
          <w:rFonts w:ascii="Trebuchet MS" w:eastAsia="Times New Roman" w:hAnsi="Trebuchet MS" w:cs="Times New Roman"/>
          <w:color w:val="000000"/>
          <w:sz w:val="16"/>
          <w:lang w:eastAsia="bg-BG"/>
        </w:rPr>
        <w:t> </w:t>
      </w:r>
      <w:r w:rsidRPr="00DD5653">
        <w:rPr>
          <w:rFonts w:ascii="Trebuchet MS" w:eastAsia="Times New Roman" w:hAnsi="Trebuchet MS" w:cs="Times New Roman"/>
          <w:i/>
          <w:iCs/>
          <w:color w:val="000000"/>
          <w:sz w:val="16"/>
          <w:lang w:eastAsia="bg-BG"/>
        </w:rPr>
        <w:t>(</w:t>
      </w:r>
      <w:proofErr w:type="spellStart"/>
      <w:r w:rsidRPr="00DD5653">
        <w:rPr>
          <w:rFonts w:ascii="Trebuchet MS" w:eastAsia="Times New Roman" w:hAnsi="Trebuchet MS" w:cs="Times New Roman"/>
          <w:i/>
          <w:iCs/>
          <w:color w:val="000000"/>
          <w:sz w:val="16"/>
          <w:lang w:eastAsia="bg-BG"/>
        </w:rPr>
        <w:t>дд</w:t>
      </w:r>
      <w:proofErr w:type="spellEnd"/>
      <w:r w:rsidRPr="00DD5653">
        <w:rPr>
          <w:rFonts w:ascii="Trebuchet MS" w:eastAsia="Times New Roman" w:hAnsi="Trebuchet MS" w:cs="Times New Roman"/>
          <w:i/>
          <w:iCs/>
          <w:color w:val="000000"/>
          <w:sz w:val="16"/>
          <w:lang w:eastAsia="bg-BG"/>
        </w:rPr>
        <w:t>/мм/</w:t>
      </w:r>
      <w:proofErr w:type="spellStart"/>
      <w:r w:rsidRPr="00DD5653">
        <w:rPr>
          <w:rFonts w:ascii="Trebuchet MS" w:eastAsia="Times New Roman" w:hAnsi="Trebuchet MS" w:cs="Times New Roman"/>
          <w:i/>
          <w:iCs/>
          <w:color w:val="000000"/>
          <w:sz w:val="16"/>
          <w:lang w:eastAsia="bg-BG"/>
        </w:rPr>
        <w:t>гггг</w:t>
      </w:r>
      <w:proofErr w:type="spellEnd"/>
      <w:r w:rsidRPr="00DD5653">
        <w:rPr>
          <w:rFonts w:ascii="Trebuchet MS" w:eastAsia="Times New Roman" w:hAnsi="Trebuchet MS" w:cs="Times New Roman"/>
          <w:i/>
          <w:iCs/>
          <w:color w:val="000000"/>
          <w:sz w:val="16"/>
          <w:lang w:eastAsia="bg-BG"/>
        </w:rPr>
        <w:t>)</w:t>
      </w:r>
    </w:p>
    <w:p w:rsidR="00DD5653" w:rsidRPr="00DD5653" w:rsidRDefault="00DD5653" w:rsidP="00DD5653">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DD5653" w:rsidRPr="00DD5653" w:rsidRDefault="00DD5653" w:rsidP="00DD5653">
      <w:pPr>
        <w:spacing w:after="0" w:line="240" w:lineRule="auto"/>
        <w:rPr>
          <w:rFonts w:ascii="Trebuchet MS" w:eastAsia="Times New Roman" w:hAnsi="Trebuchet MS" w:cs="Times New Roman"/>
          <w:color w:val="000000"/>
          <w:sz w:val="16"/>
          <w:szCs w:val="16"/>
          <w:lang w:eastAsia="bg-BG"/>
        </w:rPr>
      </w:pPr>
      <w:r w:rsidRPr="00DD5653">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повторете, колкото пъти е необходимо</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2</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в приложимите случаи</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3</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4</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ако тази информация е известна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5</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6</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доколкото информацията е вече известна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7</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задължителна информация, която не се публикува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8</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информация по избор</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9</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10</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11</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12</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13</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14</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DD5653">
              <w:rPr>
                <w:rFonts w:ascii="Times New Roman" w:eastAsia="Times New Roman" w:hAnsi="Times New Roman" w:cs="Times New Roman"/>
                <w:i/>
                <w:iCs/>
                <w:sz w:val="24"/>
                <w:szCs w:val="24"/>
                <w:lang w:eastAsia="bg-BG"/>
              </w:rPr>
              <w:t>участите</w:t>
            </w:r>
            <w:proofErr w:type="spellEnd"/>
            <w:r w:rsidRPr="00DD5653">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15</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lastRenderedPageBreak/>
              <w:t>16</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17</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18</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19</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20</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може да бъде присъдена значимост вместо тежест</w:t>
            </w:r>
          </w:p>
        </w:tc>
      </w:tr>
      <w:tr w:rsidR="00DD5653" w:rsidRPr="00DD5653" w:rsidTr="00DD5653">
        <w:trPr>
          <w:tblCellSpacing w:w="15" w:type="dxa"/>
        </w:trPr>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sz w:val="24"/>
                <w:szCs w:val="24"/>
                <w:vertAlign w:val="superscript"/>
                <w:lang w:eastAsia="bg-BG"/>
              </w:rPr>
              <w:t>21</w:t>
            </w:r>
          </w:p>
        </w:tc>
        <w:tc>
          <w:tcPr>
            <w:tcW w:w="0" w:type="auto"/>
            <w:vAlign w:val="center"/>
            <w:hideMark/>
          </w:tcPr>
          <w:p w:rsidR="00DD5653" w:rsidRPr="00DD5653" w:rsidRDefault="00DD5653" w:rsidP="00DD5653">
            <w:pPr>
              <w:spacing w:after="0" w:line="240" w:lineRule="auto"/>
              <w:rPr>
                <w:rFonts w:ascii="Times New Roman" w:eastAsia="Times New Roman" w:hAnsi="Times New Roman" w:cs="Times New Roman"/>
                <w:sz w:val="24"/>
                <w:szCs w:val="24"/>
                <w:lang w:eastAsia="bg-BG"/>
              </w:rPr>
            </w:pPr>
            <w:r w:rsidRPr="00DD5653">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447DA6" w:rsidRDefault="00447DA6"/>
    <w:sectPr w:rsidR="00447DA6" w:rsidSect="00447D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6"/>
  <w:proofState w:spelling="clean" w:grammar="clean"/>
  <w:defaultTabStop w:val="708"/>
  <w:hyphenationZone w:val="425"/>
  <w:characterSpacingControl w:val="doNotCompress"/>
  <w:compat/>
  <w:rsids>
    <w:rsidRoot w:val="00DD5653"/>
    <w:rsid w:val="00447DA6"/>
    <w:rsid w:val="00DD56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A6"/>
  </w:style>
  <w:style w:type="paragraph" w:styleId="1">
    <w:name w:val="heading 1"/>
    <w:basedOn w:val="a"/>
    <w:link w:val="10"/>
    <w:uiPriority w:val="9"/>
    <w:qFormat/>
    <w:rsid w:val="00DD5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D5653"/>
    <w:rPr>
      <w:rFonts w:ascii="Times New Roman" w:eastAsia="Times New Roman" w:hAnsi="Times New Roman" w:cs="Times New Roman"/>
      <w:b/>
      <w:bCs/>
      <w:kern w:val="36"/>
      <w:sz w:val="48"/>
      <w:szCs w:val="48"/>
      <w:lang w:eastAsia="bg-BG"/>
    </w:rPr>
  </w:style>
  <w:style w:type="character" w:customStyle="1" w:styleId="inputvalue">
    <w:name w:val="input_value"/>
    <w:basedOn w:val="a0"/>
    <w:rsid w:val="00DD5653"/>
  </w:style>
  <w:style w:type="character" w:customStyle="1" w:styleId="inputlabel">
    <w:name w:val="input_label"/>
    <w:basedOn w:val="a0"/>
    <w:rsid w:val="00DD5653"/>
  </w:style>
  <w:style w:type="character" w:styleId="a3">
    <w:name w:val="Hyperlink"/>
    <w:basedOn w:val="a0"/>
    <w:uiPriority w:val="99"/>
    <w:semiHidden/>
    <w:unhideWhenUsed/>
    <w:rsid w:val="00DD5653"/>
    <w:rPr>
      <w:color w:val="0000FF"/>
      <w:u w:val="single"/>
    </w:rPr>
  </w:style>
  <w:style w:type="paragraph" w:styleId="a4">
    <w:name w:val="Normal (Web)"/>
    <w:basedOn w:val="a"/>
    <w:uiPriority w:val="99"/>
    <w:unhideWhenUsed/>
    <w:rsid w:val="00DD565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DD5653"/>
  </w:style>
  <w:style w:type="paragraph" w:styleId="a5">
    <w:name w:val="Balloon Text"/>
    <w:basedOn w:val="a"/>
    <w:link w:val="a6"/>
    <w:uiPriority w:val="99"/>
    <w:semiHidden/>
    <w:unhideWhenUsed/>
    <w:rsid w:val="00DD565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D5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679082">
      <w:bodyDiv w:val="1"/>
      <w:marLeft w:val="0"/>
      <w:marRight w:val="0"/>
      <w:marTop w:val="0"/>
      <w:marBottom w:val="0"/>
      <w:divBdr>
        <w:top w:val="none" w:sz="0" w:space="0" w:color="auto"/>
        <w:left w:val="none" w:sz="0" w:space="0" w:color="auto"/>
        <w:bottom w:val="none" w:sz="0" w:space="0" w:color="auto"/>
        <w:right w:val="none" w:sz="0" w:space="0" w:color="auto"/>
      </w:divBdr>
      <w:divsChild>
        <w:div w:id="394470715">
          <w:marLeft w:val="0"/>
          <w:marRight w:val="0"/>
          <w:marTop w:val="0"/>
          <w:marBottom w:val="0"/>
          <w:divBdr>
            <w:top w:val="none" w:sz="0" w:space="0" w:color="auto"/>
            <w:left w:val="none" w:sz="0" w:space="0" w:color="auto"/>
            <w:bottom w:val="none" w:sz="0" w:space="0" w:color="auto"/>
            <w:right w:val="none" w:sz="0" w:space="0" w:color="auto"/>
          </w:divBdr>
          <w:divsChild>
            <w:div w:id="1072893680">
              <w:marLeft w:val="0"/>
              <w:marRight w:val="0"/>
              <w:marTop w:val="0"/>
              <w:marBottom w:val="0"/>
              <w:divBdr>
                <w:top w:val="none" w:sz="0" w:space="0" w:color="auto"/>
                <w:left w:val="none" w:sz="0" w:space="0" w:color="auto"/>
                <w:bottom w:val="none" w:sz="0" w:space="0" w:color="auto"/>
                <w:right w:val="none" w:sz="0" w:space="0" w:color="auto"/>
              </w:divBdr>
            </w:div>
            <w:div w:id="171460307">
              <w:marLeft w:val="0"/>
              <w:marRight w:val="0"/>
              <w:marTop w:val="0"/>
              <w:marBottom w:val="0"/>
              <w:divBdr>
                <w:top w:val="none" w:sz="0" w:space="0" w:color="auto"/>
                <w:left w:val="none" w:sz="0" w:space="0" w:color="auto"/>
                <w:bottom w:val="none" w:sz="0" w:space="0" w:color="auto"/>
                <w:right w:val="none" w:sz="0" w:space="0" w:color="auto"/>
              </w:divBdr>
            </w:div>
          </w:divsChild>
        </w:div>
        <w:div w:id="1268122263">
          <w:marLeft w:val="0"/>
          <w:marRight w:val="0"/>
          <w:marTop w:val="0"/>
          <w:marBottom w:val="0"/>
          <w:divBdr>
            <w:top w:val="none" w:sz="0" w:space="0" w:color="auto"/>
            <w:left w:val="none" w:sz="0" w:space="0" w:color="auto"/>
            <w:bottom w:val="none" w:sz="0" w:space="0" w:color="auto"/>
            <w:right w:val="none" w:sz="0" w:space="0" w:color="auto"/>
          </w:divBdr>
        </w:div>
        <w:div w:id="1370301265">
          <w:marLeft w:val="0"/>
          <w:marRight w:val="0"/>
          <w:marTop w:val="0"/>
          <w:marBottom w:val="0"/>
          <w:divBdr>
            <w:top w:val="none" w:sz="0" w:space="0" w:color="auto"/>
            <w:left w:val="none" w:sz="0" w:space="0" w:color="auto"/>
            <w:bottom w:val="none" w:sz="0" w:space="0" w:color="auto"/>
            <w:right w:val="none" w:sz="0" w:space="0" w:color="auto"/>
          </w:divBdr>
        </w:div>
        <w:div w:id="557127018">
          <w:marLeft w:val="0"/>
          <w:marRight w:val="0"/>
          <w:marTop w:val="0"/>
          <w:marBottom w:val="150"/>
          <w:divBdr>
            <w:top w:val="none" w:sz="0" w:space="0" w:color="auto"/>
            <w:left w:val="none" w:sz="0" w:space="0" w:color="auto"/>
            <w:bottom w:val="none" w:sz="0" w:space="0" w:color="auto"/>
            <w:right w:val="none" w:sz="0" w:space="0" w:color="auto"/>
          </w:divBdr>
          <w:divsChild>
            <w:div w:id="1813935968">
              <w:marLeft w:val="0"/>
              <w:marRight w:val="0"/>
              <w:marTop w:val="0"/>
              <w:marBottom w:val="0"/>
              <w:divBdr>
                <w:top w:val="none" w:sz="0" w:space="0" w:color="auto"/>
                <w:left w:val="none" w:sz="0" w:space="0" w:color="auto"/>
                <w:bottom w:val="none" w:sz="0" w:space="0" w:color="auto"/>
                <w:right w:val="none" w:sz="0" w:space="0" w:color="auto"/>
              </w:divBdr>
            </w:div>
            <w:div w:id="1337148038">
              <w:marLeft w:val="0"/>
              <w:marRight w:val="0"/>
              <w:marTop w:val="0"/>
              <w:marBottom w:val="0"/>
              <w:divBdr>
                <w:top w:val="none" w:sz="0" w:space="0" w:color="auto"/>
                <w:left w:val="none" w:sz="0" w:space="0" w:color="auto"/>
                <w:bottom w:val="none" w:sz="0" w:space="0" w:color="auto"/>
                <w:right w:val="none" w:sz="0" w:space="0" w:color="auto"/>
              </w:divBdr>
            </w:div>
            <w:div w:id="735974298">
              <w:marLeft w:val="0"/>
              <w:marRight w:val="0"/>
              <w:marTop w:val="0"/>
              <w:marBottom w:val="0"/>
              <w:divBdr>
                <w:top w:val="none" w:sz="0" w:space="0" w:color="auto"/>
                <w:left w:val="none" w:sz="0" w:space="0" w:color="auto"/>
                <w:bottom w:val="none" w:sz="0" w:space="0" w:color="auto"/>
                <w:right w:val="none" w:sz="0" w:space="0" w:color="auto"/>
              </w:divBdr>
            </w:div>
            <w:div w:id="1987539940">
              <w:marLeft w:val="0"/>
              <w:marRight w:val="0"/>
              <w:marTop w:val="0"/>
              <w:marBottom w:val="0"/>
              <w:divBdr>
                <w:top w:val="none" w:sz="0" w:space="0" w:color="auto"/>
                <w:left w:val="none" w:sz="0" w:space="0" w:color="auto"/>
                <w:bottom w:val="none" w:sz="0" w:space="0" w:color="auto"/>
                <w:right w:val="none" w:sz="0" w:space="0" w:color="auto"/>
              </w:divBdr>
            </w:div>
          </w:divsChild>
        </w:div>
        <w:div w:id="505438631">
          <w:marLeft w:val="0"/>
          <w:marRight w:val="0"/>
          <w:marTop w:val="0"/>
          <w:marBottom w:val="0"/>
          <w:divBdr>
            <w:top w:val="none" w:sz="0" w:space="0" w:color="auto"/>
            <w:left w:val="none" w:sz="0" w:space="0" w:color="auto"/>
            <w:bottom w:val="none" w:sz="0" w:space="0" w:color="auto"/>
            <w:right w:val="none" w:sz="0" w:space="0" w:color="auto"/>
          </w:divBdr>
        </w:div>
        <w:div w:id="1833332571">
          <w:marLeft w:val="0"/>
          <w:marRight w:val="0"/>
          <w:marTop w:val="0"/>
          <w:marBottom w:val="0"/>
          <w:divBdr>
            <w:top w:val="none" w:sz="0" w:space="0" w:color="auto"/>
            <w:left w:val="none" w:sz="0" w:space="0" w:color="auto"/>
            <w:bottom w:val="none" w:sz="0" w:space="0" w:color="auto"/>
            <w:right w:val="none" w:sz="0" w:space="0" w:color="auto"/>
          </w:divBdr>
        </w:div>
        <w:div w:id="1795519424">
          <w:marLeft w:val="0"/>
          <w:marRight w:val="0"/>
          <w:marTop w:val="0"/>
          <w:marBottom w:val="150"/>
          <w:divBdr>
            <w:top w:val="single" w:sz="12" w:space="4" w:color="000000"/>
            <w:left w:val="single" w:sz="12" w:space="4" w:color="000000"/>
            <w:bottom w:val="single" w:sz="12" w:space="4" w:color="000000"/>
            <w:right w:val="single" w:sz="12" w:space="4" w:color="000000"/>
          </w:divBdr>
          <w:divsChild>
            <w:div w:id="702439637">
              <w:marLeft w:val="0"/>
              <w:marRight w:val="0"/>
              <w:marTop w:val="0"/>
              <w:marBottom w:val="0"/>
              <w:divBdr>
                <w:top w:val="none" w:sz="0" w:space="0" w:color="auto"/>
                <w:left w:val="none" w:sz="0" w:space="0" w:color="auto"/>
                <w:bottom w:val="none" w:sz="0" w:space="0" w:color="auto"/>
                <w:right w:val="none" w:sz="0" w:space="0" w:color="auto"/>
              </w:divBdr>
            </w:div>
            <w:div w:id="789209004">
              <w:marLeft w:val="0"/>
              <w:marRight w:val="0"/>
              <w:marTop w:val="0"/>
              <w:marBottom w:val="0"/>
              <w:divBdr>
                <w:top w:val="none" w:sz="0" w:space="0" w:color="auto"/>
                <w:left w:val="none" w:sz="0" w:space="0" w:color="auto"/>
                <w:bottom w:val="none" w:sz="0" w:space="0" w:color="auto"/>
                <w:right w:val="none" w:sz="0" w:space="0" w:color="auto"/>
              </w:divBdr>
              <w:divsChild>
                <w:div w:id="20332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625">
          <w:marLeft w:val="0"/>
          <w:marRight w:val="0"/>
          <w:marTop w:val="0"/>
          <w:marBottom w:val="0"/>
          <w:divBdr>
            <w:top w:val="none" w:sz="0" w:space="0" w:color="auto"/>
            <w:left w:val="none" w:sz="0" w:space="0" w:color="auto"/>
            <w:bottom w:val="none" w:sz="0" w:space="0" w:color="auto"/>
            <w:right w:val="none" w:sz="0" w:space="0" w:color="auto"/>
          </w:divBdr>
          <w:divsChild>
            <w:div w:id="311444092">
              <w:marLeft w:val="0"/>
              <w:marRight w:val="0"/>
              <w:marTop w:val="0"/>
              <w:marBottom w:val="150"/>
              <w:divBdr>
                <w:top w:val="none" w:sz="0" w:space="0" w:color="auto"/>
                <w:left w:val="none" w:sz="0" w:space="0" w:color="auto"/>
                <w:bottom w:val="none" w:sz="0" w:space="0" w:color="auto"/>
                <w:right w:val="none" w:sz="0" w:space="0" w:color="auto"/>
              </w:divBdr>
              <w:divsChild>
                <w:div w:id="816651010">
                  <w:marLeft w:val="0"/>
                  <w:marRight w:val="0"/>
                  <w:marTop w:val="0"/>
                  <w:marBottom w:val="0"/>
                  <w:divBdr>
                    <w:top w:val="none" w:sz="0" w:space="0" w:color="auto"/>
                    <w:left w:val="none" w:sz="0" w:space="0" w:color="auto"/>
                    <w:bottom w:val="none" w:sz="0" w:space="0" w:color="auto"/>
                    <w:right w:val="none" w:sz="0" w:space="0" w:color="auto"/>
                  </w:divBdr>
                </w:div>
                <w:div w:id="643700331">
                  <w:marLeft w:val="0"/>
                  <w:marRight w:val="0"/>
                  <w:marTop w:val="0"/>
                  <w:marBottom w:val="0"/>
                  <w:divBdr>
                    <w:top w:val="none" w:sz="0" w:space="0" w:color="auto"/>
                    <w:left w:val="none" w:sz="0" w:space="0" w:color="auto"/>
                    <w:bottom w:val="none" w:sz="0" w:space="0" w:color="auto"/>
                    <w:right w:val="none" w:sz="0" w:space="0" w:color="auto"/>
                  </w:divBdr>
                </w:div>
              </w:divsChild>
            </w:div>
            <w:div w:id="507450948">
              <w:marLeft w:val="0"/>
              <w:marRight w:val="0"/>
              <w:marTop w:val="0"/>
              <w:marBottom w:val="0"/>
              <w:divBdr>
                <w:top w:val="none" w:sz="0" w:space="0" w:color="auto"/>
                <w:left w:val="none" w:sz="0" w:space="0" w:color="auto"/>
                <w:bottom w:val="none" w:sz="0" w:space="0" w:color="auto"/>
                <w:right w:val="none" w:sz="0" w:space="0" w:color="auto"/>
              </w:divBdr>
            </w:div>
          </w:divsChild>
        </w:div>
        <w:div w:id="688023058">
          <w:marLeft w:val="0"/>
          <w:marRight w:val="0"/>
          <w:marTop w:val="0"/>
          <w:marBottom w:val="0"/>
          <w:divBdr>
            <w:top w:val="none" w:sz="0" w:space="0" w:color="auto"/>
            <w:left w:val="none" w:sz="0" w:space="0" w:color="auto"/>
            <w:bottom w:val="none" w:sz="0" w:space="0" w:color="auto"/>
            <w:right w:val="none" w:sz="0" w:space="0" w:color="auto"/>
          </w:divBdr>
          <w:divsChild>
            <w:div w:id="554587234">
              <w:marLeft w:val="0"/>
              <w:marRight w:val="0"/>
              <w:marTop w:val="0"/>
              <w:marBottom w:val="150"/>
              <w:divBdr>
                <w:top w:val="none" w:sz="0" w:space="0" w:color="auto"/>
                <w:left w:val="none" w:sz="0" w:space="0" w:color="auto"/>
                <w:bottom w:val="none" w:sz="0" w:space="0" w:color="auto"/>
                <w:right w:val="none" w:sz="0" w:space="0" w:color="auto"/>
              </w:divBdr>
              <w:divsChild>
                <w:div w:id="1433667875">
                  <w:marLeft w:val="0"/>
                  <w:marRight w:val="0"/>
                  <w:marTop w:val="0"/>
                  <w:marBottom w:val="0"/>
                  <w:divBdr>
                    <w:top w:val="none" w:sz="0" w:space="0" w:color="auto"/>
                    <w:left w:val="none" w:sz="0" w:space="0" w:color="auto"/>
                    <w:bottom w:val="none" w:sz="0" w:space="0" w:color="auto"/>
                    <w:right w:val="none" w:sz="0" w:space="0" w:color="auto"/>
                  </w:divBdr>
                </w:div>
                <w:div w:id="1331178800">
                  <w:marLeft w:val="0"/>
                  <w:marRight w:val="0"/>
                  <w:marTop w:val="0"/>
                  <w:marBottom w:val="0"/>
                  <w:divBdr>
                    <w:top w:val="none" w:sz="0" w:space="0" w:color="auto"/>
                    <w:left w:val="none" w:sz="0" w:space="0" w:color="auto"/>
                    <w:bottom w:val="none" w:sz="0" w:space="0" w:color="auto"/>
                    <w:right w:val="none" w:sz="0" w:space="0" w:color="auto"/>
                  </w:divBdr>
                  <w:divsChild>
                    <w:div w:id="535780758">
                      <w:marLeft w:val="0"/>
                      <w:marRight w:val="0"/>
                      <w:marTop w:val="0"/>
                      <w:marBottom w:val="0"/>
                      <w:divBdr>
                        <w:top w:val="none" w:sz="0" w:space="0" w:color="auto"/>
                        <w:left w:val="none" w:sz="0" w:space="0" w:color="auto"/>
                        <w:bottom w:val="none" w:sz="0" w:space="0" w:color="auto"/>
                        <w:right w:val="none" w:sz="0" w:space="0" w:color="auto"/>
                      </w:divBdr>
                    </w:div>
                    <w:div w:id="1787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813">
              <w:marLeft w:val="0"/>
              <w:marRight w:val="0"/>
              <w:marTop w:val="0"/>
              <w:marBottom w:val="0"/>
              <w:divBdr>
                <w:top w:val="none" w:sz="0" w:space="0" w:color="auto"/>
                <w:left w:val="none" w:sz="0" w:space="0" w:color="auto"/>
                <w:bottom w:val="none" w:sz="0" w:space="0" w:color="auto"/>
                <w:right w:val="none" w:sz="0" w:space="0" w:color="auto"/>
              </w:divBdr>
            </w:div>
          </w:divsChild>
        </w:div>
        <w:div w:id="1015768770">
          <w:marLeft w:val="0"/>
          <w:marRight w:val="0"/>
          <w:marTop w:val="0"/>
          <w:marBottom w:val="0"/>
          <w:divBdr>
            <w:top w:val="none" w:sz="0" w:space="0" w:color="auto"/>
            <w:left w:val="none" w:sz="0" w:space="0" w:color="auto"/>
            <w:bottom w:val="none" w:sz="0" w:space="0" w:color="auto"/>
            <w:right w:val="none" w:sz="0" w:space="0" w:color="auto"/>
          </w:divBdr>
          <w:divsChild>
            <w:div w:id="2014599289">
              <w:marLeft w:val="0"/>
              <w:marRight w:val="0"/>
              <w:marTop w:val="0"/>
              <w:marBottom w:val="150"/>
              <w:divBdr>
                <w:top w:val="none" w:sz="0" w:space="0" w:color="auto"/>
                <w:left w:val="none" w:sz="0" w:space="0" w:color="auto"/>
                <w:bottom w:val="none" w:sz="0" w:space="0" w:color="auto"/>
                <w:right w:val="none" w:sz="0" w:space="0" w:color="auto"/>
              </w:divBdr>
              <w:divsChild>
                <w:div w:id="1829906937">
                  <w:marLeft w:val="0"/>
                  <w:marRight w:val="0"/>
                  <w:marTop w:val="0"/>
                  <w:marBottom w:val="0"/>
                  <w:divBdr>
                    <w:top w:val="none" w:sz="0" w:space="0" w:color="auto"/>
                    <w:left w:val="none" w:sz="0" w:space="0" w:color="auto"/>
                    <w:bottom w:val="none" w:sz="0" w:space="0" w:color="auto"/>
                    <w:right w:val="none" w:sz="0" w:space="0" w:color="auto"/>
                  </w:divBdr>
                </w:div>
                <w:div w:id="1432511543">
                  <w:marLeft w:val="0"/>
                  <w:marRight w:val="0"/>
                  <w:marTop w:val="0"/>
                  <w:marBottom w:val="0"/>
                  <w:divBdr>
                    <w:top w:val="none" w:sz="0" w:space="0" w:color="auto"/>
                    <w:left w:val="none" w:sz="0" w:space="0" w:color="auto"/>
                    <w:bottom w:val="none" w:sz="0" w:space="0" w:color="auto"/>
                    <w:right w:val="none" w:sz="0" w:space="0" w:color="auto"/>
                  </w:divBdr>
                </w:div>
                <w:div w:id="772166960">
                  <w:marLeft w:val="0"/>
                  <w:marRight w:val="0"/>
                  <w:marTop w:val="0"/>
                  <w:marBottom w:val="0"/>
                  <w:divBdr>
                    <w:top w:val="none" w:sz="0" w:space="0" w:color="auto"/>
                    <w:left w:val="none" w:sz="0" w:space="0" w:color="auto"/>
                    <w:bottom w:val="none" w:sz="0" w:space="0" w:color="auto"/>
                    <w:right w:val="none" w:sz="0" w:space="0" w:color="auto"/>
                  </w:divBdr>
                </w:div>
                <w:div w:id="1157114365">
                  <w:marLeft w:val="0"/>
                  <w:marRight w:val="0"/>
                  <w:marTop w:val="0"/>
                  <w:marBottom w:val="0"/>
                  <w:divBdr>
                    <w:top w:val="none" w:sz="0" w:space="0" w:color="auto"/>
                    <w:left w:val="none" w:sz="0" w:space="0" w:color="auto"/>
                    <w:bottom w:val="none" w:sz="0" w:space="0" w:color="auto"/>
                    <w:right w:val="none" w:sz="0" w:space="0" w:color="auto"/>
                  </w:divBdr>
                </w:div>
                <w:div w:id="1750343326">
                  <w:marLeft w:val="0"/>
                  <w:marRight w:val="0"/>
                  <w:marTop w:val="0"/>
                  <w:marBottom w:val="0"/>
                  <w:divBdr>
                    <w:top w:val="none" w:sz="0" w:space="0" w:color="auto"/>
                    <w:left w:val="none" w:sz="0" w:space="0" w:color="auto"/>
                    <w:bottom w:val="none" w:sz="0" w:space="0" w:color="auto"/>
                    <w:right w:val="none" w:sz="0" w:space="0" w:color="auto"/>
                  </w:divBdr>
                </w:div>
                <w:div w:id="561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2019-05-23T10:19:00Z</dcterms:created>
  <dcterms:modified xsi:type="dcterms:W3CDTF">2019-05-23T10:20:00Z</dcterms:modified>
</cp:coreProperties>
</file>