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0C" w:rsidRPr="00D46F0C" w:rsidRDefault="00D46F0C" w:rsidP="00D46F0C">
      <w:pPr>
        <w:rPr>
          <w:b/>
          <w:bCs/>
        </w:rPr>
      </w:pPr>
      <w:r w:rsidRPr="00D46F0C">
        <w:rPr>
          <w:b/>
          <w:bCs/>
        </w:rPr>
        <w:t>Деловодна информация</w:t>
      </w:r>
    </w:p>
    <w:tbl>
      <w:tblPr>
        <w:tblW w:w="18690" w:type="dxa"/>
        <w:tblCellMar>
          <w:top w:w="15" w:type="dxa"/>
          <w:left w:w="15" w:type="dxa"/>
          <w:bottom w:w="15" w:type="dxa"/>
          <w:right w:w="15" w:type="dxa"/>
        </w:tblCellMar>
        <w:tblLook w:val="04A0" w:firstRow="1" w:lastRow="0" w:firstColumn="1" w:lastColumn="0" w:noHBand="0" w:noVBand="1"/>
      </w:tblPr>
      <w:tblGrid>
        <w:gridCol w:w="6889"/>
        <w:gridCol w:w="11801"/>
      </w:tblGrid>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Партида на възложителя: 00638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Поделение:</w:t>
            </w:r>
          </w:p>
        </w:tc>
      </w:tr>
      <w:tr w:rsidR="00D46F0C" w:rsidRPr="00D46F0C" w:rsidT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Изходящ номер: С-1581 от дата: 20/03/2020 </w:t>
            </w:r>
            <w:r w:rsidRPr="00D46F0C">
              <w:rPr>
                <w:i/>
                <w:iCs/>
              </w:rPr>
              <w:t>(</w:t>
            </w:r>
            <w:proofErr w:type="spellStart"/>
            <w:r w:rsidRPr="00D46F0C">
              <w:rPr>
                <w:i/>
                <w:iCs/>
              </w:rPr>
              <w:t>дд</w:t>
            </w:r>
            <w:proofErr w:type="spellEnd"/>
            <w:r w:rsidRPr="00D46F0C">
              <w:rPr>
                <w:i/>
                <w:iCs/>
              </w:rPr>
              <w:t>/мм/</w:t>
            </w:r>
            <w:proofErr w:type="spellStart"/>
            <w:r w:rsidRPr="00D46F0C">
              <w:rPr>
                <w:i/>
                <w:iCs/>
              </w:rPr>
              <w:t>гггг</w:t>
            </w:r>
            <w:proofErr w:type="spellEnd"/>
            <w:r w:rsidRPr="00D46F0C">
              <w:rPr>
                <w:i/>
                <w:iCs/>
              </w:rPr>
              <w:t>)</w:t>
            </w:r>
          </w:p>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Обявлението подлежи на публикуване в ОВ на ЕС: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
            </w:tblGrid>
            <w:tr w:rsidR="00D46F0C" w:rsidRPr="00D46F0C">
              <w:trPr>
                <w:tblCellSpacing w:w="15" w:type="dxa"/>
              </w:trPr>
              <w:tc>
                <w:tcPr>
                  <w:tcW w:w="0" w:type="auto"/>
                  <w:tcBorders>
                    <w:top w:val="nil"/>
                    <w:left w:val="nil"/>
                    <w:bottom w:val="nil"/>
                    <w:right w:val="nil"/>
                  </w:tcBorders>
                  <w:vAlign w:val="center"/>
                  <w:hideMark/>
                </w:tcPr>
                <w:p w:rsidR="00D46F0C" w:rsidRPr="00D46F0C" w:rsidRDefault="00D46F0C" w:rsidP="00D46F0C">
                  <w:r w:rsidRPr="00D46F0C">
                    <w:t>не</w:t>
                  </w:r>
                </w:p>
              </w:tc>
            </w:tr>
          </w:tbl>
          <w:p w:rsidR="00D46F0C" w:rsidRPr="00D46F0C" w:rsidRDefault="00D46F0C" w:rsidP="00D46F0C"/>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Съгласен съм с </w:t>
            </w:r>
            <w:hyperlink r:id="rId5" w:tgtFrame="_blank" w:history="1">
              <w:r w:rsidRPr="00D46F0C">
                <w:rPr>
                  <w:rStyle w:val="a3"/>
                </w:rPr>
                <w:t>Общите условия</w:t>
              </w:r>
            </w:hyperlink>
            <w:r w:rsidRPr="00D46F0C">
              <w:t> на АОП за използване на услугата Електронен подател:</w:t>
            </w:r>
          </w:p>
        </w:tc>
      </w:tr>
      <w:tr w:rsidR="00D46F0C" w:rsidRPr="00D46F0C" w:rsidT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Дата на изпращане на обявлението до ОВ на ЕС:</w:t>
            </w:r>
          </w:p>
        </w:tc>
      </w:tr>
      <w:tr w:rsidR="00D46F0C" w:rsidRPr="00D46F0C" w:rsidT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Заведено в преписка: 00638-2020-0003</w:t>
            </w:r>
            <w:r w:rsidRPr="00D46F0C">
              <w:t> </w:t>
            </w:r>
            <w:r w:rsidRPr="00D46F0C">
              <w:rPr>
                <w:i/>
                <w:iCs/>
              </w:rPr>
              <w:t>(</w:t>
            </w:r>
            <w:proofErr w:type="spellStart"/>
            <w:r w:rsidRPr="00D46F0C">
              <w:rPr>
                <w:i/>
                <w:iCs/>
              </w:rPr>
              <w:t>nnnnn-yyyy-xxxx</w:t>
            </w:r>
            <w:proofErr w:type="spellEnd"/>
            <w:r w:rsidRPr="00D46F0C">
              <w:rPr>
                <w:i/>
                <w:iCs/>
              </w:rPr>
              <w:t>)</w:t>
            </w:r>
          </w:p>
        </w:tc>
      </w:tr>
    </w:tbl>
    <w:p w:rsidR="00D46F0C" w:rsidRPr="00D46F0C" w:rsidRDefault="00D46F0C" w:rsidP="00D46F0C">
      <w:r w:rsidRPr="00D46F0C">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5"/>
        <w:gridCol w:w="5902"/>
      </w:tblGrid>
      <w:tr w:rsidR="00D46F0C" w:rsidRPr="00D46F0C" w:rsidTr="00D46F0C">
        <w:trPr>
          <w:tblCellSpacing w:w="15" w:type="dxa"/>
        </w:trPr>
        <w:tc>
          <w:tcPr>
            <w:tcW w:w="0" w:type="auto"/>
            <w:vAlign w:val="center"/>
            <w:hideMark/>
          </w:tcPr>
          <w:p w:rsidR="00D46F0C" w:rsidRPr="00D46F0C" w:rsidRDefault="00D46F0C" w:rsidP="00D46F0C">
            <w:r w:rsidRPr="00D46F0C">
              <w:drawing>
                <wp:inline distT="0" distB="0" distL="0" distR="0">
                  <wp:extent cx="990600" cy="685800"/>
                  <wp:effectExtent l="0" t="0" r="0" b="0"/>
                  <wp:docPr id="1" name="Картина 1" descr="http://www.aop.bg/ng/images/eu-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ng/images/eu-fl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685800"/>
                          </a:xfrm>
                          <a:prstGeom prst="rect">
                            <a:avLst/>
                          </a:prstGeom>
                          <a:noFill/>
                          <a:ln>
                            <a:noFill/>
                          </a:ln>
                        </pic:spPr>
                      </pic:pic>
                    </a:graphicData>
                  </a:graphic>
                </wp:inline>
              </w:drawing>
            </w:r>
          </w:p>
        </w:tc>
        <w:tc>
          <w:tcPr>
            <w:tcW w:w="0" w:type="auto"/>
            <w:hideMark/>
          </w:tcPr>
          <w:p w:rsidR="00D46F0C" w:rsidRPr="00D46F0C" w:rsidRDefault="00D46F0C" w:rsidP="00D46F0C">
            <w:pPr>
              <w:rPr>
                <w:b/>
                <w:bCs/>
              </w:rPr>
            </w:pPr>
            <w:r w:rsidRPr="00D46F0C">
              <w:rPr>
                <w:b/>
                <w:bCs/>
              </w:rPr>
              <w:t>Притурка към Официален вестник на Европейския съюз</w:t>
            </w:r>
          </w:p>
          <w:p w:rsidR="00000000" w:rsidRPr="00D46F0C" w:rsidRDefault="00D46F0C" w:rsidP="00D46F0C">
            <w:r w:rsidRPr="00D46F0C">
              <w:t>Информация и онлайн формуляри: </w:t>
            </w:r>
            <w:hyperlink r:id="rId7" w:tgtFrame="_blank" w:history="1">
              <w:r w:rsidRPr="00D46F0C">
                <w:rPr>
                  <w:rStyle w:val="a3"/>
                </w:rPr>
                <w:t>http://simap.ted.europa.eu</w:t>
              </w:r>
            </w:hyperlink>
          </w:p>
        </w:tc>
      </w:tr>
    </w:tbl>
    <w:p w:rsidR="00D46F0C" w:rsidRPr="00D46F0C" w:rsidRDefault="00D46F0C" w:rsidP="00D46F0C">
      <w:pPr>
        <w:rPr>
          <w:b/>
          <w:bCs/>
        </w:rPr>
      </w:pPr>
      <w:r w:rsidRPr="00D46F0C">
        <w:rPr>
          <w:b/>
          <w:bCs/>
        </w:rPr>
        <w:t>Обявление за поръчка</w:t>
      </w:r>
    </w:p>
    <w:p w:rsidR="00D46F0C" w:rsidRPr="00D46F0C" w:rsidRDefault="00D46F0C" w:rsidP="00D46F0C">
      <w:r w:rsidRPr="00D46F0C">
        <w:t>Директива 2014/24/ЕС/ЗОП</w:t>
      </w:r>
    </w:p>
    <w:p w:rsidR="00D46F0C" w:rsidRPr="00D46F0C" w:rsidRDefault="00D46F0C" w:rsidP="00D46F0C">
      <w:pPr>
        <w:rPr>
          <w:b/>
          <w:bCs/>
        </w:rPr>
      </w:pPr>
      <w:r w:rsidRPr="00D46F0C">
        <w:rPr>
          <w:b/>
          <w:bCs/>
        </w:rPr>
        <w:t> Раздел I: Възлагащ орган</w:t>
      </w:r>
    </w:p>
    <w:p w:rsidR="00D46F0C" w:rsidRPr="00D46F0C" w:rsidRDefault="00D46F0C" w:rsidP="00D46F0C">
      <w:r w:rsidRPr="00D46F0C">
        <w:rPr>
          <w:b/>
          <w:bCs/>
        </w:rPr>
        <w:t>I.1) Наименование и адреси</w:t>
      </w:r>
      <w:r w:rsidRPr="00D46F0C">
        <w:t> </w:t>
      </w:r>
      <w:r w:rsidRPr="00D46F0C">
        <w:rPr>
          <w:vertAlign w:val="superscript"/>
        </w:rPr>
        <w:t>1</w:t>
      </w:r>
      <w:r w:rsidRPr="00D46F0C">
        <w:t> </w:t>
      </w:r>
      <w:r w:rsidRPr="00D46F0C">
        <w:rPr>
          <w:i/>
          <w:iCs/>
        </w:rPr>
        <w:t>(моля, посочете всички възлагащи органи, които отговарят за процедурата)</w:t>
      </w:r>
    </w:p>
    <w:tbl>
      <w:tblPr>
        <w:tblW w:w="18540" w:type="dxa"/>
        <w:tblCellMar>
          <w:top w:w="15" w:type="dxa"/>
          <w:left w:w="15" w:type="dxa"/>
          <w:bottom w:w="15" w:type="dxa"/>
          <w:right w:w="15" w:type="dxa"/>
        </w:tblCellMar>
        <w:tblLook w:val="04A0" w:firstRow="1" w:lastRow="0" w:firstColumn="1" w:lastColumn="0" w:noHBand="0" w:noVBand="1"/>
      </w:tblPr>
      <w:tblGrid>
        <w:gridCol w:w="4059"/>
        <w:gridCol w:w="2977"/>
        <w:gridCol w:w="3527"/>
        <w:gridCol w:w="7977"/>
      </w:tblGrid>
      <w:tr w:rsidR="00D46F0C" w:rsidRPr="00D46F0C" w:rsidTr="00D46F0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Официално наименование: Кмет на Община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Национален регистрационен номер: 000903729</w:t>
            </w:r>
          </w:p>
        </w:tc>
      </w:tr>
      <w:tr w:rsidR="00D46F0C" w:rsidRPr="00D46F0C" w:rsidTr="00D46F0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Пощенски адрес: пл. „Шейновски“ № 3</w:t>
            </w:r>
          </w:p>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Град: гр.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код NUTS: BG422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Пощенски код: 6490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Държава: България</w:t>
            </w:r>
          </w:p>
        </w:tc>
      </w:tr>
      <w:tr w:rsidR="00D46F0C" w:rsidRPr="00D46F0C" w:rsidTr="00D46F0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Лице за контакт: Мими Дачева,Гергана Димова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Телефон: +359 3781-2341</w:t>
            </w:r>
          </w:p>
        </w:tc>
      </w:tr>
      <w:tr w:rsidR="00D46F0C" w:rsidRPr="00D46F0C" w:rsidTr="00D46F0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Електронна поща: obshtina_simgrad@abv.bg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Факс: +359 3781-2006</w:t>
            </w:r>
          </w:p>
        </w:tc>
      </w:tr>
      <w:tr w:rsidR="00D46F0C" w:rsidRPr="00D46F0C" w:rsidTr="00D46F0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Интернет адрес/и</w:t>
            </w:r>
          </w:p>
          <w:p w:rsidR="00D46F0C" w:rsidRPr="00D46F0C" w:rsidRDefault="00D46F0C" w:rsidP="00D46F0C">
            <w:r w:rsidRPr="00D46F0C">
              <w:t>Основен адрес: </w:t>
            </w:r>
            <w:r w:rsidRPr="00D46F0C">
              <w:rPr>
                <w:i/>
                <w:iCs/>
              </w:rPr>
              <w:t>(URL)</w:t>
            </w:r>
            <w:r w:rsidRPr="00D46F0C">
              <w:t> </w:t>
            </w:r>
            <w:hyperlink r:id="rId8" w:tgtFrame="_blank" w:history="1">
              <w:r w:rsidRPr="00D46F0C">
                <w:rPr>
                  <w:rStyle w:val="a3"/>
                </w:rPr>
                <w:t>http://www.simeonovgrad.bg</w:t>
              </w:r>
            </w:hyperlink>
          </w:p>
          <w:p w:rsidR="00000000" w:rsidRPr="00D46F0C" w:rsidRDefault="00D46F0C" w:rsidP="00D46F0C">
            <w:r w:rsidRPr="00D46F0C">
              <w:t>Адрес на профила на купувача: </w:t>
            </w:r>
            <w:r w:rsidRPr="00D46F0C">
              <w:rPr>
                <w:i/>
                <w:iCs/>
              </w:rPr>
              <w:t>(URL)</w:t>
            </w:r>
            <w:r w:rsidRPr="00D46F0C">
              <w:t> </w:t>
            </w:r>
            <w:hyperlink r:id="rId9" w:tgtFrame="_blank" w:history="1">
              <w:r w:rsidRPr="00D46F0C">
                <w:rPr>
                  <w:rStyle w:val="a3"/>
                </w:rPr>
                <w:t>http://www.simeonovgrad.bg/profilebuyer</w:t>
              </w:r>
            </w:hyperlink>
          </w:p>
        </w:tc>
      </w:tr>
    </w:tbl>
    <w:p w:rsidR="00D46F0C" w:rsidRPr="00D46F0C" w:rsidRDefault="00D46F0C" w:rsidP="00D46F0C"/>
    <w:p w:rsidR="00D46F0C" w:rsidRPr="00D46F0C" w:rsidRDefault="00D46F0C" w:rsidP="00D46F0C">
      <w:r w:rsidRPr="00D46F0C">
        <w:rPr>
          <w:b/>
          <w:bCs/>
        </w:rPr>
        <w:t>I.2) Съвместно възлагане</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4"/>
              <w:gridCol w:w="14163"/>
            </w:tblGrid>
            <w:tr w:rsidR="00D46F0C" w:rsidRPr="00D46F0C">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Поръчката обхваща съвместно възлагане: НЕ</w:t>
                  </w:r>
                </w:p>
              </w:tc>
            </w:tr>
            <w:tr w:rsidR="00D46F0C" w:rsidRPr="00D46F0C">
              <w:trPr>
                <w:tblCellSpacing w:w="15" w:type="dxa"/>
              </w:trPr>
              <w:tc>
                <w:tcPr>
                  <w:tcW w:w="0" w:type="auto"/>
                  <w:tcBorders>
                    <w:top w:val="single" w:sz="6" w:space="0" w:color="000000"/>
                    <w:left w:val="single" w:sz="6" w:space="0" w:color="000000"/>
                    <w:bottom w:val="single" w:sz="6" w:space="0" w:color="000000"/>
                    <w:right w:val="single" w:sz="6" w:space="0" w:color="000000"/>
                  </w:tcBorders>
                  <w:noWrap/>
                  <w:tcMar>
                    <w:top w:w="75" w:type="dxa"/>
                    <w:left w:w="75" w:type="dxa"/>
                    <w:bottom w:w="75" w:type="dxa"/>
                    <w:right w:w="75" w:type="dxa"/>
                  </w:tcMar>
                  <w:vAlign w:val="center"/>
                  <w:hideMark/>
                </w:tcPr>
                <w:p w:rsidR="00D46F0C" w:rsidRPr="00D46F0C" w:rsidRDefault="00D46F0C" w:rsidP="00D46F0C">
                  <w:r w:rsidRPr="00D46F0C">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В случай на съвместно възлагане, обхващащо различни държави - приложимото национално законодателство в сферата на обществените поръчки:</w:t>
                  </w:r>
                </w:p>
              </w:tc>
            </w:tr>
            <w:tr w:rsidR="00D46F0C" w:rsidRPr="00D46F0C">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Поръчката се възлага от централен орган за покупки: НЕ</w:t>
                  </w:r>
                </w:p>
              </w:tc>
            </w:tr>
          </w:tbl>
          <w:p w:rsidR="00D46F0C" w:rsidRPr="00D46F0C" w:rsidRDefault="00D46F0C" w:rsidP="00D46F0C"/>
        </w:tc>
      </w:tr>
    </w:tbl>
    <w:p w:rsidR="00D46F0C" w:rsidRPr="00D46F0C" w:rsidRDefault="00D46F0C" w:rsidP="00D46F0C"/>
    <w:p w:rsidR="00D46F0C" w:rsidRPr="00D46F0C" w:rsidRDefault="00D46F0C" w:rsidP="00D46F0C">
      <w:r w:rsidRPr="00D46F0C">
        <w:rPr>
          <w:b/>
          <w:bCs/>
        </w:rPr>
        <w:t>I.3) Комуникация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69"/>
            </w:tblGrid>
            <w:tr w:rsidR="00D46F0C" w:rsidRPr="00D46F0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29"/>
                  </w:tblGrid>
                  <w:tr w:rsidR="00D46F0C" w:rsidRPr="00D46F0C">
                    <w:trPr>
                      <w:tblCellSpacing w:w="15" w:type="dxa"/>
                    </w:trPr>
                    <w:tc>
                      <w:tcPr>
                        <w:tcW w:w="0" w:type="auto"/>
                        <w:tcBorders>
                          <w:top w:val="nil"/>
                          <w:left w:val="nil"/>
                          <w:bottom w:val="nil"/>
                          <w:right w:val="nil"/>
                        </w:tcBorders>
                        <w:vAlign w:val="center"/>
                        <w:hideMark/>
                      </w:tcPr>
                      <w:p w:rsidR="00D46F0C" w:rsidRPr="00D46F0C" w:rsidRDefault="00D46F0C" w:rsidP="00D46F0C">
                        <w:r w:rsidRPr="00D46F0C">
                          <w:t>Документацията за обществената поръчка е достъпна за неограничен и пълен пряк безплатен достъп на: (URL)</w:t>
                        </w:r>
                      </w:p>
                    </w:tc>
                  </w:tr>
                </w:tbl>
                <w:p w:rsidR="00D46F0C" w:rsidRPr="00D46F0C" w:rsidRDefault="00D46F0C" w:rsidP="00D46F0C"/>
              </w:tc>
            </w:tr>
            <w:tr w:rsidR="00D46F0C" w:rsidRPr="00D46F0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(URL): </w:t>
                  </w:r>
                  <w:hyperlink r:id="rId10" w:tgtFrame="_blank" w:history="1">
                    <w:r w:rsidRPr="00D46F0C">
                      <w:rPr>
                        <w:rStyle w:val="a3"/>
                      </w:rPr>
                      <w:t>http://www.simeonovgrad.bg/profilebuyer</w:t>
                    </w:r>
                  </w:hyperlink>
                </w:p>
              </w:tc>
            </w:tr>
          </w:tbl>
          <w:p w:rsidR="00D46F0C" w:rsidRPr="00D46F0C" w:rsidRDefault="00D46F0C" w:rsidP="00D46F0C"/>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69"/>
            </w:tblGrid>
            <w:tr w:rsidR="00D46F0C" w:rsidRPr="00D46F0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Допълнителна информация може да бъде получена 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47"/>
                  </w:tblGrid>
                  <w:tr w:rsidR="00D46F0C" w:rsidRPr="00D46F0C">
                    <w:trPr>
                      <w:tblCellSpacing w:w="15" w:type="dxa"/>
                    </w:trPr>
                    <w:tc>
                      <w:tcPr>
                        <w:tcW w:w="0" w:type="auto"/>
                        <w:tcBorders>
                          <w:top w:val="nil"/>
                          <w:left w:val="nil"/>
                          <w:bottom w:val="nil"/>
                          <w:right w:val="nil"/>
                        </w:tcBorders>
                        <w:vAlign w:val="center"/>
                        <w:hideMark/>
                      </w:tcPr>
                      <w:p w:rsidR="00D46F0C" w:rsidRPr="00D46F0C" w:rsidRDefault="00D46F0C" w:rsidP="00D46F0C">
                        <w:r w:rsidRPr="00D46F0C">
                          <w:t>Горепосоченото/</w:t>
                        </w:r>
                        <w:proofErr w:type="spellStart"/>
                        <w:r w:rsidRPr="00D46F0C">
                          <w:t>ите</w:t>
                        </w:r>
                        <w:proofErr w:type="spellEnd"/>
                        <w:r w:rsidRPr="00D46F0C">
                          <w:t xml:space="preserve"> място/места за контакт</w:t>
                        </w:r>
                      </w:p>
                    </w:tc>
                  </w:tr>
                </w:tbl>
                <w:p w:rsidR="00D46F0C" w:rsidRPr="00D46F0C" w:rsidRDefault="00D46F0C" w:rsidP="00D46F0C"/>
              </w:tc>
            </w:tr>
          </w:tbl>
          <w:p w:rsidR="00D46F0C" w:rsidRPr="00D46F0C" w:rsidRDefault="00D46F0C" w:rsidP="00D46F0C"/>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17"/>
            </w:tblGrid>
            <w:tr w:rsidR="00D46F0C" w:rsidRPr="00D46F0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Офертите или заявленията за участие трябва да бъдат изпратени: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47"/>
                  </w:tblGrid>
                  <w:tr w:rsidR="00D46F0C" w:rsidRPr="00D46F0C">
                    <w:trPr>
                      <w:tblCellSpacing w:w="15" w:type="dxa"/>
                    </w:trPr>
                    <w:tc>
                      <w:tcPr>
                        <w:tcW w:w="0" w:type="auto"/>
                        <w:tcBorders>
                          <w:top w:val="nil"/>
                          <w:left w:val="nil"/>
                          <w:bottom w:val="nil"/>
                          <w:right w:val="nil"/>
                        </w:tcBorders>
                        <w:vAlign w:val="center"/>
                        <w:hideMark/>
                      </w:tcPr>
                      <w:p w:rsidR="00D46F0C" w:rsidRPr="00D46F0C" w:rsidRDefault="00D46F0C" w:rsidP="00D46F0C">
                        <w:r w:rsidRPr="00D46F0C">
                          <w:t>Горепосоченото/</w:t>
                        </w:r>
                        <w:proofErr w:type="spellStart"/>
                        <w:r w:rsidRPr="00D46F0C">
                          <w:t>ите</w:t>
                        </w:r>
                        <w:proofErr w:type="spellEnd"/>
                        <w:r w:rsidRPr="00D46F0C">
                          <w:t xml:space="preserve"> място/места за контакт</w:t>
                        </w:r>
                      </w:p>
                    </w:tc>
                  </w:tr>
                </w:tbl>
                <w:p w:rsidR="00D46F0C" w:rsidRPr="00D46F0C" w:rsidRDefault="00D46F0C" w:rsidP="00D46F0C"/>
              </w:tc>
            </w:tr>
            <w:tr w:rsidR="00D46F0C" w:rsidRPr="00D46F0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електронно посредством: НЕ  </w:t>
                  </w:r>
                </w:p>
              </w:tc>
            </w:tr>
          </w:tbl>
          <w:p w:rsidR="00D46F0C" w:rsidRPr="00D46F0C" w:rsidRDefault="00D46F0C" w:rsidP="00D46F0C"/>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91"/>
            </w:tblGrid>
            <w:tr w:rsidR="00D46F0C" w:rsidRPr="00D46F0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Електронната комуникация изисква използването на средства и устройства, които по принцип не са достъпни. Възможен е неограничен и пълен пряк безплатен достъп на: НЕ (URL):</w:t>
                  </w:r>
                </w:p>
              </w:tc>
            </w:tr>
          </w:tbl>
          <w:p w:rsidR="00D46F0C" w:rsidRPr="00D46F0C" w:rsidRDefault="00D46F0C" w:rsidP="00D46F0C"/>
        </w:tc>
      </w:tr>
    </w:tbl>
    <w:p w:rsidR="00D46F0C" w:rsidRPr="00D46F0C" w:rsidRDefault="00D46F0C" w:rsidP="00D46F0C"/>
    <w:p w:rsidR="00D46F0C" w:rsidRPr="00D46F0C" w:rsidRDefault="00D46F0C" w:rsidP="00D46F0C">
      <w:r w:rsidRPr="00D46F0C">
        <w:rPr>
          <w:b/>
          <w:bCs/>
        </w:rPr>
        <w:t>I.4) Вид на възлагащия орган</w:t>
      </w:r>
      <w:r w:rsidRPr="00D46F0C">
        <w:t> </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0"/>
            </w:tblGrid>
            <w:tr w:rsidR="00D46F0C" w:rsidRPr="00D46F0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0"/>
                  </w:tblGrid>
                  <w:tr w:rsidR="00D46F0C" w:rsidRPr="00D46F0C">
                    <w:trPr>
                      <w:tblCellSpacing w:w="15" w:type="dxa"/>
                    </w:trPr>
                    <w:tc>
                      <w:tcPr>
                        <w:tcW w:w="0" w:type="auto"/>
                        <w:tcBorders>
                          <w:top w:val="nil"/>
                          <w:left w:val="nil"/>
                          <w:bottom w:val="nil"/>
                          <w:right w:val="nil"/>
                        </w:tcBorders>
                        <w:vAlign w:val="center"/>
                        <w:hideMark/>
                      </w:tcPr>
                      <w:p w:rsidR="00D46F0C" w:rsidRPr="00D46F0C" w:rsidRDefault="00D46F0C" w:rsidP="00D46F0C">
                        <w:r w:rsidRPr="00D46F0C">
                          <w:t>Регионален или местен орган</w:t>
                        </w:r>
                      </w:p>
                    </w:tc>
                  </w:tr>
                </w:tbl>
                <w:p w:rsidR="00D46F0C" w:rsidRPr="00D46F0C" w:rsidRDefault="00D46F0C" w:rsidP="00D46F0C"/>
              </w:tc>
            </w:tr>
          </w:tbl>
          <w:p w:rsidR="00D46F0C" w:rsidRPr="00D46F0C" w:rsidRDefault="00D46F0C" w:rsidP="00D46F0C"/>
        </w:tc>
      </w:tr>
    </w:tbl>
    <w:p w:rsidR="00D46F0C" w:rsidRPr="00D46F0C" w:rsidRDefault="00D46F0C" w:rsidP="00D46F0C"/>
    <w:p w:rsidR="00D46F0C" w:rsidRPr="00D46F0C" w:rsidRDefault="00D46F0C" w:rsidP="00D46F0C">
      <w:r w:rsidRPr="00D46F0C">
        <w:rPr>
          <w:b/>
          <w:bCs/>
        </w:rPr>
        <w:t>I.5) Основна дейност</w:t>
      </w:r>
      <w:r w:rsidRPr="00D46F0C">
        <w:t> </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3"/>
            </w:tblGrid>
            <w:tr w:rsidR="00D46F0C" w:rsidRPr="00D46F0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3"/>
                  </w:tblGrid>
                  <w:tr w:rsidR="00D46F0C" w:rsidRPr="00D46F0C">
                    <w:trPr>
                      <w:tblCellSpacing w:w="15" w:type="dxa"/>
                    </w:trPr>
                    <w:tc>
                      <w:tcPr>
                        <w:tcW w:w="0" w:type="auto"/>
                        <w:tcBorders>
                          <w:top w:val="nil"/>
                          <w:left w:val="nil"/>
                          <w:bottom w:val="nil"/>
                          <w:right w:val="nil"/>
                        </w:tcBorders>
                        <w:vAlign w:val="center"/>
                        <w:hideMark/>
                      </w:tcPr>
                      <w:p w:rsidR="00D46F0C" w:rsidRPr="00D46F0C" w:rsidRDefault="00D46F0C" w:rsidP="00D46F0C">
                        <w:r w:rsidRPr="00D46F0C">
                          <w:lastRenderedPageBreak/>
                          <w:t>Общи обществени услуги</w:t>
                        </w:r>
                      </w:p>
                    </w:tc>
                  </w:tr>
                </w:tbl>
                <w:p w:rsidR="00D46F0C" w:rsidRPr="00D46F0C" w:rsidRDefault="00D46F0C" w:rsidP="00D46F0C"/>
              </w:tc>
            </w:tr>
          </w:tbl>
          <w:p w:rsidR="00D46F0C" w:rsidRPr="00D46F0C" w:rsidRDefault="00D46F0C" w:rsidP="00D46F0C"/>
        </w:tc>
      </w:tr>
    </w:tbl>
    <w:p w:rsidR="00D46F0C" w:rsidRPr="00D46F0C" w:rsidRDefault="00D46F0C" w:rsidP="00D46F0C">
      <w:pPr>
        <w:rPr>
          <w:b/>
          <w:bCs/>
        </w:rPr>
      </w:pPr>
      <w:r w:rsidRPr="00D46F0C">
        <w:rPr>
          <w:b/>
          <w:bCs/>
        </w:rPr>
        <w:t>Раздел II: Предмет</w:t>
      </w:r>
    </w:p>
    <w:p w:rsidR="00D46F0C" w:rsidRPr="00D46F0C" w:rsidRDefault="00D46F0C" w:rsidP="00D46F0C">
      <w:r w:rsidRPr="00D46F0C">
        <w:rPr>
          <w:b/>
          <w:bCs/>
        </w:rPr>
        <w:t>II.1) Обхват на обществената поръчка</w:t>
      </w:r>
    </w:p>
    <w:tbl>
      <w:tblPr>
        <w:tblW w:w="18480" w:type="dxa"/>
        <w:tblCellMar>
          <w:top w:w="15" w:type="dxa"/>
          <w:left w:w="15" w:type="dxa"/>
          <w:bottom w:w="15" w:type="dxa"/>
          <w:right w:w="15" w:type="dxa"/>
        </w:tblCellMar>
        <w:tblLook w:val="04A0" w:firstRow="1" w:lastRow="0" w:firstColumn="1" w:lastColumn="0" w:noHBand="0" w:noVBand="1"/>
      </w:tblPr>
      <w:tblGrid>
        <w:gridCol w:w="15701"/>
        <w:gridCol w:w="2779"/>
      </w:tblGrid>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II.1.1) Наименование</w:t>
            </w:r>
            <w:r w:rsidRPr="00D46F0C">
              <w:t>: АВАРИЙНА РЕКОНСТРУКЦИЯ И ОТВОДНЯВАНЕ НА УЛИЦА ОТ О.Т. 1+87 М. ДО О.Т. 64 В С.ТРОЯН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Референтен номер: </w:t>
            </w:r>
            <w:r w:rsidRPr="00D46F0C">
              <w:rPr>
                <w:vertAlign w:val="superscript"/>
              </w:rPr>
              <w:t>2</w:t>
            </w:r>
          </w:p>
        </w:tc>
      </w:tr>
      <w:tr w:rsidR="00D46F0C" w:rsidRPr="00D46F0C" w:rsidT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II.1.2) Основен CPV код</w:t>
            </w:r>
            <w:r w:rsidRPr="00D46F0C">
              <w:t>: 45233252      Допълнителен CPV код: </w:t>
            </w:r>
            <w:r w:rsidRPr="00D46F0C">
              <w:rPr>
                <w:vertAlign w:val="superscript"/>
              </w:rPr>
              <w:t>1</w:t>
            </w:r>
            <w:r w:rsidRPr="00D46F0C">
              <w:t> </w:t>
            </w:r>
            <w:r w:rsidRPr="00D46F0C">
              <w:rPr>
                <w:vertAlign w:val="superscript"/>
              </w:rPr>
              <w:t>2</w:t>
            </w:r>
          </w:p>
        </w:tc>
      </w:tr>
      <w:tr w:rsidR="00D46F0C" w:rsidRPr="00D46F0C" w:rsidT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9"/>
            </w:tblGrid>
            <w:tr w:rsidR="00D46F0C" w:rsidRPr="00D46F0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II.1.3) Вид на поръчка</w:t>
                  </w:r>
                  <w:r w:rsidRPr="00D46F0C">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0"/>
                  </w:tblGrid>
                  <w:tr w:rsidR="00D46F0C" w:rsidRPr="00D46F0C">
                    <w:trPr>
                      <w:tblCellSpacing w:w="15" w:type="dxa"/>
                    </w:trPr>
                    <w:tc>
                      <w:tcPr>
                        <w:tcW w:w="0" w:type="auto"/>
                        <w:tcBorders>
                          <w:top w:val="nil"/>
                          <w:left w:val="nil"/>
                          <w:bottom w:val="nil"/>
                          <w:right w:val="nil"/>
                        </w:tcBorders>
                        <w:vAlign w:val="center"/>
                        <w:hideMark/>
                      </w:tcPr>
                      <w:p w:rsidR="00D46F0C" w:rsidRPr="00D46F0C" w:rsidRDefault="00D46F0C" w:rsidP="00D46F0C">
                        <w:r w:rsidRPr="00D46F0C">
                          <w:t>Строителство</w:t>
                        </w:r>
                      </w:p>
                    </w:tc>
                  </w:tr>
                </w:tbl>
                <w:p w:rsidR="00D46F0C" w:rsidRPr="00D46F0C" w:rsidRDefault="00D46F0C" w:rsidP="00D46F0C"/>
              </w:tc>
            </w:tr>
          </w:tbl>
          <w:p w:rsidR="00D46F0C" w:rsidRPr="00D46F0C" w:rsidRDefault="00D46F0C" w:rsidP="00D46F0C"/>
        </w:tc>
      </w:tr>
      <w:tr w:rsidR="00D46F0C" w:rsidRPr="00D46F0C" w:rsidT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II.1.4) Кратко описание</w:t>
            </w:r>
            <w:r w:rsidRPr="00D46F0C">
              <w:t>:</w:t>
            </w:r>
            <w:r w:rsidRPr="00D46F0C">
              <w:br/>
              <w:t>Предмет на настоящата обществена поръчка е: „Изпълнение на строително-монтажни работи за обект: „Аварийна реконструкция и отводняване на улица от о.т. 1+87 м. до о.т. 64 в с.Троян“ общ. Симеоновград.</w:t>
            </w:r>
            <w:proofErr w:type="spellStart"/>
            <w:r w:rsidRPr="00D46F0C">
              <w:t>Oбхват</w:t>
            </w:r>
            <w:proofErr w:type="spellEnd"/>
            <w:r w:rsidRPr="00D46F0C">
              <w:t xml:space="preserve"> на обществената поръчка: строежът е четвърта категория съгласно чл.137, ал.1, т.4 б „а“ и б “д“ от ЗУТ и чл. 8, ал. 1, т. 2 от Наредба № 1 от 30.07.2003г. за номенклатурата на видовете строежи.Изпълнението на СМР се извършва в съответствие с част трета „Строителство“ от ЗУТ.</w:t>
            </w:r>
          </w:p>
        </w:tc>
      </w:tr>
      <w:tr w:rsidR="00D46F0C" w:rsidRPr="00D46F0C" w:rsidT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II.1.5) Прогнозна обща стойност</w:t>
            </w:r>
            <w:r w:rsidRPr="00D46F0C">
              <w:t> </w:t>
            </w:r>
            <w:r w:rsidRPr="00D46F0C">
              <w:rPr>
                <w:vertAlign w:val="superscript"/>
              </w:rPr>
              <w:t>2</w:t>
            </w:r>
            <w:r w:rsidRPr="00D46F0C">
              <w:br/>
              <w:t>Стойност, без да се включва ДДС: 584301.65      Валута: BGN</w:t>
            </w:r>
            <w:r w:rsidRPr="00D46F0C">
              <w:br/>
            </w:r>
            <w:r w:rsidRPr="00D46F0C">
              <w:rPr>
                <w:i/>
                <w:iCs/>
              </w:rPr>
              <w:t>(за рамкови споразумения или динамични системи за покупки - прогнозна обща максимална стойност за цялата продължителност на рамковото споразумение или на динамичната система за покупки)</w:t>
            </w:r>
          </w:p>
        </w:tc>
      </w:tr>
      <w:tr w:rsidR="00D46F0C" w:rsidRPr="00D46F0C" w:rsidT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II.1.6) Информация относно обособените позиции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18"/>
            </w:tblGrid>
            <w:tr w:rsidR="00D46F0C" w:rsidRPr="00D46F0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Настоящата поръчка е разделена на обособени позиции: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
                  </w:tblGrid>
                  <w:tr w:rsidR="00D46F0C" w:rsidRPr="00D46F0C">
                    <w:trPr>
                      <w:tblCellSpacing w:w="15" w:type="dxa"/>
                    </w:trPr>
                    <w:tc>
                      <w:tcPr>
                        <w:tcW w:w="0" w:type="auto"/>
                        <w:tcBorders>
                          <w:top w:val="nil"/>
                          <w:left w:val="nil"/>
                          <w:bottom w:val="nil"/>
                          <w:right w:val="nil"/>
                        </w:tcBorders>
                        <w:vAlign w:val="center"/>
                        <w:hideMark/>
                      </w:tcPr>
                      <w:p w:rsidR="00D46F0C" w:rsidRPr="00D46F0C" w:rsidRDefault="00D46F0C" w:rsidP="00D46F0C">
                        <w:r w:rsidRPr="00D46F0C">
                          <w:t>не</w:t>
                        </w:r>
                      </w:p>
                    </w:tc>
                  </w:tr>
                </w:tbl>
                <w:p w:rsidR="00D46F0C" w:rsidRPr="00D46F0C" w:rsidRDefault="00D46F0C" w:rsidP="00D46F0C"/>
              </w:tc>
            </w:tr>
          </w:tbl>
          <w:p w:rsidR="00D46F0C" w:rsidRPr="00D46F0C" w:rsidRDefault="00D46F0C" w:rsidP="00D46F0C">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5"/>
            </w:tblGrid>
            <w:tr w:rsidR="00D46F0C" w:rsidRPr="00D46F0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58"/>
                    <w:gridCol w:w="231"/>
                  </w:tblGrid>
                  <w:tr w:rsidR="00D46F0C" w:rsidRPr="00D46F0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D46F0C" w:rsidRPr="00D46F0C" w:rsidRDefault="00D46F0C" w:rsidP="00D46F0C">
                        <w:r w:rsidRPr="00D46F0C">
                          <w:t>Оферти могат да бъдат подавани 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D46F0C" w:rsidRPr="00D46F0C" w:rsidRDefault="00D46F0C" w:rsidP="00D46F0C"/>
                    </w:tc>
                  </w:tr>
                </w:tbl>
                <w:p w:rsidR="00D46F0C" w:rsidRPr="00D46F0C" w:rsidRDefault="00D46F0C" w:rsidP="00D46F0C"/>
              </w:tc>
            </w:tr>
          </w:tbl>
          <w:p w:rsidR="00D46F0C" w:rsidRPr="00D46F0C" w:rsidRDefault="00D46F0C" w:rsidP="00D46F0C"/>
        </w:tc>
      </w:tr>
      <w:tr w:rsidR="00D46F0C" w:rsidRPr="00D46F0C" w:rsidT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II.2) Описание </w:t>
            </w:r>
            <w:r w:rsidRPr="00D46F0C">
              <w:rPr>
                <w:b/>
                <w:bCs/>
                <w:vertAlign w:val="superscript"/>
              </w:rPr>
              <w:t>1</w:t>
            </w:r>
          </w:p>
          <w:tbl>
            <w:tblPr>
              <w:tblW w:w="18300" w:type="dxa"/>
              <w:tblCellMar>
                <w:top w:w="15" w:type="dxa"/>
                <w:left w:w="15" w:type="dxa"/>
                <w:bottom w:w="15" w:type="dxa"/>
                <w:right w:w="15" w:type="dxa"/>
              </w:tblCellMar>
              <w:tblLook w:val="04A0" w:firstRow="1" w:lastRow="0" w:firstColumn="1" w:lastColumn="0" w:noHBand="0" w:noVBand="1"/>
            </w:tblPr>
            <w:tblGrid>
              <w:gridCol w:w="8630"/>
              <w:gridCol w:w="9670"/>
            </w:tblGrid>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II.2.1) Наименование</w:t>
                  </w:r>
                  <w:r w:rsidRPr="00D46F0C">
                    <w:t>: </w:t>
                  </w:r>
                  <w:r w:rsidRPr="00D46F0C">
                    <w:rPr>
                      <w:vertAlign w:val="superscript"/>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Обособена позиция номер: </w:t>
                  </w:r>
                  <w:r w:rsidRPr="00D46F0C">
                    <w:rPr>
                      <w:vertAlign w:val="superscript"/>
                    </w:rPr>
                    <w:t>2</w:t>
                  </w:r>
                </w:p>
              </w:tc>
            </w:tr>
            <w:tr w:rsidR="00D46F0C" w:rsidRPr="00D46F0C" w:rsidT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II.2.2) Допълнителни CPV кодове </w:t>
                  </w:r>
                  <w:r w:rsidRPr="00D46F0C">
                    <w:rPr>
                      <w:b/>
                      <w:bCs/>
                      <w:vertAlign w:val="superscript"/>
                    </w:rPr>
                    <w:t>2</w:t>
                  </w:r>
                  <w:r w:rsidRPr="00D46F0C">
                    <w:br/>
                    <w:t>Основен CPV код: </w:t>
                  </w:r>
                  <w:r w:rsidRPr="00D46F0C">
                    <w:rPr>
                      <w:vertAlign w:val="superscript"/>
                    </w:rPr>
                    <w:t>1</w:t>
                  </w:r>
                  <w:r w:rsidRPr="00D46F0C">
                    <w:t> 45233252      Допълнителен CPV код: </w:t>
                  </w:r>
                  <w:r w:rsidRPr="00D46F0C">
                    <w:rPr>
                      <w:vertAlign w:val="superscript"/>
                    </w:rPr>
                    <w:t>1</w:t>
                  </w:r>
                  <w:r w:rsidRPr="00D46F0C">
                    <w:t> </w:t>
                  </w:r>
                  <w:r w:rsidRPr="00D46F0C">
                    <w:rPr>
                      <w:vertAlign w:val="superscript"/>
                    </w:rPr>
                    <w:t>2</w:t>
                  </w:r>
                </w:p>
              </w:tc>
            </w:tr>
            <w:tr w:rsidR="00D46F0C" w:rsidRPr="00D46F0C" w:rsidT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II.2.3) Място на изпълнение</w:t>
                  </w:r>
                  <w:r w:rsidRPr="00D46F0C">
                    <w:br/>
                  </w:r>
                  <w:r w:rsidRPr="00D46F0C">
                    <w:lastRenderedPageBreak/>
                    <w:t>код NUTS: </w:t>
                  </w:r>
                  <w:r w:rsidRPr="00D46F0C">
                    <w:rPr>
                      <w:vertAlign w:val="superscript"/>
                    </w:rPr>
                    <w:t>1</w:t>
                  </w:r>
                  <w:r w:rsidRPr="00D46F0C">
                    <w:t> BG422</w:t>
                  </w:r>
                  <w:r w:rsidRPr="00D46F0C">
                    <w:br/>
                    <w:t>Основно място на изпълнение:</w:t>
                  </w:r>
                  <w:r w:rsidRPr="00D46F0C">
                    <w:br/>
                    <w:t>с. Троян , община Симеоновград</w:t>
                  </w:r>
                </w:p>
              </w:tc>
            </w:tr>
            <w:tr w:rsidR="00D46F0C" w:rsidRPr="00D46F0C" w:rsidT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lastRenderedPageBreak/>
                    <w:t>II.2.4) Описание на обществената поръчка</w:t>
                  </w:r>
                  <w:r w:rsidRPr="00D46F0C">
                    <w:t>: </w:t>
                  </w:r>
                  <w:r w:rsidRPr="00D46F0C">
                    <w:rPr>
                      <w:i/>
                      <w:iCs/>
                    </w:rPr>
                    <w:t>(естество и количество на строителните работи, доставки или услуги или указване на потребности и изисквания)</w:t>
                  </w:r>
                  <w:r w:rsidRPr="00D46F0C">
                    <w:br/>
                    <w:t>Изпълнението на СМР се извършва в съответствие с част трета „Строителство“ от ЗУТ. Обстоятелствата, свързани със започване, изпълнение и приемане на СМР, и въвеждане на обекта в експлоатация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00D46F0C">
                    <w:br/>
                    <w:t>Техническото изпълнение на строителството трябва да бъде изпълнено в съответствие с изискванията на приложимата нормативна уредба, в т.ч. Закон за устройство на територията и подзаконовите нормативни актове към него; техническите спецификации на вложените в строежа строителни продукти, материали и оборудване и минималните изисквания за здравословни и безопасни условия на труд при извършване на СМР.</w:t>
                  </w:r>
                  <w:r w:rsidRPr="00D46F0C">
                    <w:br/>
                    <w:t>Видовете СМР, които подлежат на изпълнение и техните количества са подробно описани в приложената към настоящата документация Количествена сметка.</w:t>
                  </w:r>
                </w:p>
              </w:tc>
            </w:tr>
            <w:tr w:rsidR="00D46F0C" w:rsidRPr="00D46F0C" w:rsidT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27"/>
                  </w:tblGrid>
                  <w:tr w:rsidR="00D46F0C" w:rsidRPr="00D46F0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II.2.5) Критерии за възлагане</w:t>
                        </w:r>
                        <w:r w:rsidRPr="00D46F0C">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5"/>
                        </w:tblGrid>
                        <w:tr w:rsidR="00D46F0C" w:rsidRPr="00D46F0C">
                          <w:trPr>
                            <w:tblCellSpacing w:w="15" w:type="dxa"/>
                          </w:trPr>
                          <w:tc>
                            <w:tcPr>
                              <w:tcW w:w="0" w:type="auto"/>
                              <w:tcBorders>
                                <w:top w:val="nil"/>
                                <w:left w:val="nil"/>
                                <w:bottom w:val="nil"/>
                                <w:right w:val="nil"/>
                              </w:tcBorders>
                              <w:vAlign w:val="center"/>
                              <w:hideMark/>
                            </w:tcPr>
                            <w:p w:rsidR="00D46F0C" w:rsidRPr="00D46F0C" w:rsidRDefault="00D46F0C" w:rsidP="00D46F0C">
                              <w:r w:rsidRPr="00D46F0C">
                                <w:t>Критериите по-долу</w:t>
                              </w:r>
                            </w:p>
                          </w:tc>
                        </w:tr>
                      </w:tbl>
                      <w:p w:rsidR="00D46F0C" w:rsidRPr="00D46F0C" w:rsidRDefault="00D46F0C" w:rsidP="00D46F0C"/>
                    </w:tc>
                  </w:tr>
                  <w:tr w:rsidR="00D46F0C" w:rsidRPr="00D46F0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 </w:t>
                        </w: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3236"/>
                          <w:gridCol w:w="7235"/>
                        </w:tblGrid>
                        <w:tr w:rsidR="00D46F0C" w:rsidRPr="00D46F0C">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6F0C" w:rsidRPr="00D46F0C" w:rsidRDefault="00D46F0C" w:rsidP="00D46F0C">
                              <w:r w:rsidRPr="00D46F0C">
                                <w:t>Критерий за качество: </w:t>
                              </w:r>
                              <w:r w:rsidRPr="00D46F0C">
                                <w:rPr>
                                  <w:vertAlign w:val="superscript"/>
                                </w:rPr>
                                <w:t>1</w:t>
                              </w:r>
                              <w:r w:rsidRPr="00D46F0C">
                                <w:t> </w:t>
                              </w:r>
                              <w:r w:rsidRPr="00D46F0C">
                                <w:rPr>
                                  <w:vertAlign w:val="superscript"/>
                                </w:rPr>
                                <w:t>2</w:t>
                              </w:r>
                              <w:r w:rsidRPr="00D46F0C">
                                <w:t> </w:t>
                              </w:r>
                              <w:r w:rsidRPr="00D46F0C">
                                <w:rPr>
                                  <w:vertAlign w:val="superscript"/>
                                </w:rPr>
                                <w:t>20</w:t>
                              </w:r>
                              <w:r w:rsidRPr="00D46F0C">
                                <w:t> 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6F0C" w:rsidRPr="00D46F0C" w:rsidRDefault="00D46F0C" w:rsidP="00D46F0C">
                              <w:r w:rsidRPr="00D46F0C">
                                <w:t>Име: Техническо предложение за изпълнение на поръчката    Тежест: 50</w:t>
                              </w:r>
                            </w:p>
                          </w:tc>
                        </w:tr>
                        <w:tr w:rsidR="00D46F0C" w:rsidRPr="00D46F0C">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3"/>
                              </w:tblGrid>
                              <w:tr w:rsidR="00D46F0C" w:rsidRPr="00D46F0C">
                                <w:trPr>
                                  <w:tblCellSpacing w:w="15" w:type="dxa"/>
                                </w:trPr>
                                <w:tc>
                                  <w:tcPr>
                                    <w:tcW w:w="0" w:type="auto"/>
                                    <w:tcBorders>
                                      <w:top w:val="nil"/>
                                      <w:left w:val="nil"/>
                                      <w:bottom w:val="nil"/>
                                      <w:right w:val="nil"/>
                                    </w:tcBorders>
                                    <w:vAlign w:val="center"/>
                                    <w:hideMark/>
                                  </w:tcPr>
                                  <w:p w:rsidR="00D46F0C" w:rsidRPr="00D46F0C" w:rsidRDefault="00D46F0C" w:rsidP="00D46F0C">
                                    <w:r w:rsidRPr="00D46F0C">
                                      <w:t>Цена</w:t>
                                    </w:r>
                                  </w:p>
                                </w:tc>
                              </w:tr>
                            </w:tbl>
                            <w:p w:rsidR="00D46F0C" w:rsidRPr="00D46F0C" w:rsidRDefault="00D46F0C" w:rsidP="00D46F0C"/>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6F0C" w:rsidRPr="00D46F0C" w:rsidRDefault="00D46F0C" w:rsidP="00D46F0C">
                              <w:r w:rsidRPr="00D46F0C">
                                <w:t>Тежест: </w:t>
                              </w:r>
                              <w:r w:rsidRPr="00D46F0C">
                                <w:rPr>
                                  <w:vertAlign w:val="superscript"/>
                                </w:rPr>
                                <w:t>21</w:t>
                              </w:r>
                              <w:r w:rsidRPr="00D46F0C">
                                <w:t> 50</w:t>
                              </w:r>
                            </w:p>
                          </w:tc>
                        </w:tr>
                      </w:tbl>
                      <w:p w:rsidR="00D46F0C" w:rsidRPr="00D46F0C" w:rsidRDefault="00D46F0C" w:rsidP="00D46F0C"/>
                    </w:tc>
                  </w:tr>
                </w:tbl>
                <w:p w:rsidR="00D46F0C" w:rsidRPr="00D46F0C" w:rsidRDefault="00D46F0C" w:rsidP="00D46F0C"/>
              </w:tc>
            </w:tr>
            <w:tr w:rsidR="00D46F0C" w:rsidRPr="00D46F0C" w:rsidT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II.2.6) Прогнозна стойност</w:t>
                  </w:r>
                  <w:r w:rsidRPr="00D46F0C">
                    <w:br/>
                    <w:t>Стойност, без да се включва ДДС: 584301.65      Валута: BGN</w:t>
                  </w:r>
                  <w:r w:rsidRPr="00D46F0C">
                    <w:br/>
                  </w:r>
                  <w:r w:rsidRPr="00D46F0C">
                    <w:rPr>
                      <w:i/>
                      <w:iCs/>
                    </w:rPr>
                    <w:t>(за рамкови споразумения или динамични системи за покупки - прогнозна обща максимална стойност за цялата продължителност на тази обособена позиция)</w:t>
                  </w:r>
                </w:p>
              </w:tc>
            </w:tr>
            <w:tr w:rsidR="00D46F0C" w:rsidRPr="00D46F0C" w:rsidT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II.2.7) Продължителност на поръчката, рамковото споразумение или динамичната система за покупки</w:t>
                  </w:r>
                  <w:r w:rsidRPr="00D46F0C">
                    <w:br/>
                    <w:t>Продължителност в дни: 150</w:t>
                  </w:r>
                  <w:r w:rsidRPr="00D46F0C">
                    <w:br/>
                  </w:r>
                  <w:r w:rsidRPr="00D46F0C">
                    <w:br/>
                    <w:t>Тази поръчка подлежи на подновяване: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
                  </w:tblGrid>
                  <w:tr w:rsidR="00D46F0C" w:rsidRPr="00D46F0C">
                    <w:trPr>
                      <w:tblCellSpacing w:w="15" w:type="dxa"/>
                    </w:trPr>
                    <w:tc>
                      <w:tcPr>
                        <w:tcW w:w="0" w:type="auto"/>
                        <w:tcBorders>
                          <w:top w:val="nil"/>
                          <w:left w:val="nil"/>
                          <w:bottom w:val="nil"/>
                          <w:right w:val="nil"/>
                        </w:tcBorders>
                        <w:vAlign w:val="center"/>
                        <w:hideMark/>
                      </w:tcPr>
                      <w:p w:rsidR="00D46F0C" w:rsidRPr="00D46F0C" w:rsidRDefault="00D46F0C" w:rsidP="00D46F0C">
                        <w:r w:rsidRPr="00D46F0C">
                          <w:t>не</w:t>
                        </w:r>
                      </w:p>
                    </w:tc>
                  </w:tr>
                </w:tbl>
                <w:p w:rsidR="00D46F0C" w:rsidRPr="00D46F0C" w:rsidRDefault="00D46F0C" w:rsidP="00D46F0C">
                  <w:r w:rsidRPr="00D46F0C">
                    <w:br/>
                    <w:t xml:space="preserve">Описание на </w:t>
                  </w:r>
                  <w:proofErr w:type="spellStart"/>
                  <w:r w:rsidRPr="00D46F0C">
                    <w:t>подновяванията</w:t>
                  </w:r>
                  <w:proofErr w:type="spellEnd"/>
                  <w:r w:rsidRPr="00D46F0C">
                    <w:t>:</w:t>
                  </w:r>
                </w:p>
              </w:tc>
            </w:tr>
            <w:tr w:rsidR="00D46F0C" w:rsidRPr="00D46F0C" w:rsidT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 xml:space="preserve">II.2.9) Информация относно ограничение за броя на </w:t>
                  </w:r>
                  <w:proofErr w:type="spellStart"/>
                  <w:r w:rsidRPr="00D46F0C">
                    <w:rPr>
                      <w:b/>
                      <w:bCs/>
                    </w:rPr>
                    <w:t>кадидатите</w:t>
                  </w:r>
                  <w:proofErr w:type="spellEnd"/>
                  <w:r w:rsidRPr="00D46F0C">
                    <w:rPr>
                      <w:b/>
                      <w:bCs/>
                    </w:rPr>
                    <w:t>, които ще бъдат поканени </w:t>
                  </w:r>
                  <w:r w:rsidRPr="00D46F0C">
                    <w:rPr>
                      <w:i/>
                      <w:iCs/>
                    </w:rPr>
                    <w:t>(с изключение на открити процедури)</w:t>
                  </w:r>
                  <w:r w:rsidRPr="00D46F0C">
                    <w:br/>
                    <w:t>Очакван брой кандидати:</w:t>
                  </w:r>
                  <w:r w:rsidRPr="00D46F0C">
                    <w:br/>
                  </w:r>
                  <w:r w:rsidRPr="00D46F0C">
                    <w:rPr>
                      <w:i/>
                      <w:iCs/>
                    </w:rPr>
                    <w:t>или</w:t>
                  </w:r>
                  <w:r w:rsidRPr="00D46F0C">
                    <w:t> Предвиден минимален брой:  </w:t>
                  </w:r>
                  <w:r w:rsidRPr="00D46F0C">
                    <w:rPr>
                      <w:i/>
                      <w:iCs/>
                    </w:rPr>
                    <w:t>/</w:t>
                  </w:r>
                  <w:r w:rsidRPr="00D46F0C">
                    <w:t> Максимален брой: (</w:t>
                  </w:r>
                  <w:r w:rsidRPr="00D46F0C">
                    <w:rPr>
                      <w:vertAlign w:val="superscript"/>
                    </w:rPr>
                    <w:t>2</w:t>
                  </w:r>
                  <w:r w:rsidRPr="00D46F0C">
                    <w:t>)</w:t>
                  </w:r>
                  <w:r w:rsidRPr="00D46F0C">
                    <w:br/>
                  </w:r>
                  <w:r w:rsidRPr="00D46F0C">
                    <w:lastRenderedPageBreak/>
                    <w:t xml:space="preserve">Обективни критерии за избор на ограничен брой </w:t>
                  </w:r>
                  <w:proofErr w:type="spellStart"/>
                  <w:r w:rsidRPr="00D46F0C">
                    <w:t>кандиадти</w:t>
                  </w:r>
                  <w:proofErr w:type="spellEnd"/>
                  <w:r w:rsidRPr="00D46F0C">
                    <w:t>:</w:t>
                  </w:r>
                </w:p>
              </w:tc>
            </w:tr>
            <w:tr w:rsidR="00D46F0C" w:rsidRPr="00D46F0C" w:rsidT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lastRenderedPageBreak/>
                    <w:t>II.2.10) Информация относно вариантите</w:t>
                  </w:r>
                  <w:r w:rsidRPr="00D46F0C">
                    <w:br/>
                    <w:t>Ще бъдат приемани варианти: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
                  </w:tblGrid>
                  <w:tr w:rsidR="00D46F0C" w:rsidRPr="00D46F0C">
                    <w:trPr>
                      <w:tblCellSpacing w:w="15" w:type="dxa"/>
                    </w:trPr>
                    <w:tc>
                      <w:tcPr>
                        <w:tcW w:w="0" w:type="auto"/>
                        <w:tcBorders>
                          <w:top w:val="nil"/>
                          <w:left w:val="nil"/>
                          <w:bottom w:val="nil"/>
                          <w:right w:val="nil"/>
                        </w:tcBorders>
                        <w:vAlign w:val="center"/>
                        <w:hideMark/>
                      </w:tcPr>
                      <w:p w:rsidR="00D46F0C" w:rsidRPr="00D46F0C" w:rsidRDefault="00D46F0C" w:rsidP="00D46F0C">
                        <w:r w:rsidRPr="00D46F0C">
                          <w:t>не</w:t>
                        </w:r>
                      </w:p>
                    </w:tc>
                  </w:tr>
                </w:tbl>
                <w:p w:rsidR="00D46F0C" w:rsidRPr="00D46F0C" w:rsidRDefault="00D46F0C" w:rsidP="00D46F0C"/>
              </w:tc>
            </w:tr>
            <w:tr w:rsidR="00D46F0C" w:rsidRPr="00D46F0C" w:rsidT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II.2.11) Информация относно опциите</w:t>
                  </w:r>
                  <w:r w:rsidRPr="00D46F0C">
                    <w:br/>
                    <w:t>Опции: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
                  </w:tblGrid>
                  <w:tr w:rsidR="00D46F0C" w:rsidRPr="00D46F0C">
                    <w:trPr>
                      <w:tblCellSpacing w:w="15" w:type="dxa"/>
                    </w:trPr>
                    <w:tc>
                      <w:tcPr>
                        <w:tcW w:w="0" w:type="auto"/>
                        <w:tcBorders>
                          <w:top w:val="nil"/>
                          <w:left w:val="nil"/>
                          <w:bottom w:val="nil"/>
                          <w:right w:val="nil"/>
                        </w:tcBorders>
                        <w:vAlign w:val="center"/>
                        <w:hideMark/>
                      </w:tcPr>
                      <w:p w:rsidR="00D46F0C" w:rsidRPr="00D46F0C" w:rsidRDefault="00D46F0C" w:rsidP="00D46F0C">
                        <w:r w:rsidRPr="00D46F0C">
                          <w:t>не</w:t>
                        </w:r>
                      </w:p>
                    </w:tc>
                  </w:tr>
                </w:tbl>
                <w:p w:rsidR="00D46F0C" w:rsidRPr="00D46F0C" w:rsidRDefault="00D46F0C" w:rsidP="00D46F0C">
                  <w:r w:rsidRPr="00D46F0C">
                    <w:br/>
                    <w:t>Описание на опциите:</w:t>
                  </w:r>
                </w:p>
              </w:tc>
            </w:tr>
            <w:tr w:rsidR="00D46F0C" w:rsidRPr="00D46F0C" w:rsidT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II.2.12) Информация относно електронни каталози</w:t>
                  </w:r>
                  <w:r w:rsidRPr="00D46F0C">
                    <w:br/>
                    <w:t>Офертите трябва да бъдат представени под формата на електронни каталози или да включват електронен каталог: НЕ</w:t>
                  </w:r>
                </w:p>
              </w:tc>
            </w:tr>
            <w:tr w:rsidR="00D46F0C" w:rsidRPr="00D46F0C" w:rsidT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II.2.13) Информация относно средства от Европейския съюз</w:t>
                  </w:r>
                  <w:r w:rsidRPr="00D46F0C">
                    <w:br/>
                    <w:t>Обществената поръчка е във връзка с проект и/или програма, финансиран/а със средства от Европейския съюз: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
                  </w:tblGrid>
                  <w:tr w:rsidR="00D46F0C" w:rsidRPr="00D46F0C">
                    <w:trPr>
                      <w:tblCellSpacing w:w="15" w:type="dxa"/>
                    </w:trPr>
                    <w:tc>
                      <w:tcPr>
                        <w:tcW w:w="0" w:type="auto"/>
                        <w:tcBorders>
                          <w:top w:val="nil"/>
                          <w:left w:val="nil"/>
                          <w:bottom w:val="nil"/>
                          <w:right w:val="nil"/>
                        </w:tcBorders>
                        <w:vAlign w:val="center"/>
                        <w:hideMark/>
                      </w:tcPr>
                      <w:p w:rsidR="00D46F0C" w:rsidRPr="00D46F0C" w:rsidRDefault="00D46F0C" w:rsidP="00D46F0C">
                        <w:r w:rsidRPr="00D46F0C">
                          <w:t>не</w:t>
                        </w:r>
                      </w:p>
                    </w:tc>
                  </w:tr>
                </w:tbl>
                <w:p w:rsidR="00D46F0C" w:rsidRPr="00D46F0C" w:rsidRDefault="00D46F0C" w:rsidP="00D46F0C"/>
              </w:tc>
            </w:tr>
            <w:tr w:rsidR="00D46F0C" w:rsidRPr="00D46F0C" w:rsidT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II.2.14) Допълнителна информация</w:t>
                  </w:r>
                  <w:r w:rsidRPr="00D46F0C">
                    <w:t>:</w:t>
                  </w:r>
                  <w:r w:rsidRPr="00D46F0C">
                    <w:br/>
                    <w:t xml:space="preserve">Срокът за </w:t>
                  </w:r>
                  <w:proofErr w:type="spellStart"/>
                  <w:r w:rsidRPr="00D46F0C">
                    <w:t>изпълн</w:t>
                  </w:r>
                  <w:proofErr w:type="spellEnd"/>
                  <w:r w:rsidRPr="00D46F0C">
                    <w:t xml:space="preserve">. на поръчката е по предложение на участника, но не по-малко от 90 (деветдесет) календарни дни и не-повече от 150 (сто и петдесет) </w:t>
                  </w:r>
                  <w:proofErr w:type="spellStart"/>
                  <w:r w:rsidRPr="00D46F0C">
                    <w:t>календ</w:t>
                  </w:r>
                  <w:proofErr w:type="spellEnd"/>
                  <w:r w:rsidRPr="00D46F0C">
                    <w:t xml:space="preserve"> дни. На основание на чл.114 от ЗОП , Възложителят посочва, че към датата на откриване на процедурата не е осигурено финансиране за изпълнение на поръчката. В този смисъл и изпълнението на договора се отлага до осигуряване на финансов ресурс.</w:t>
                  </w:r>
                </w:p>
              </w:tc>
            </w:tr>
          </w:tbl>
          <w:p w:rsidR="00D46F0C" w:rsidRPr="00D46F0C" w:rsidRDefault="00D46F0C" w:rsidP="00D46F0C"/>
        </w:tc>
      </w:tr>
    </w:tbl>
    <w:p w:rsidR="00D46F0C" w:rsidRPr="00D46F0C" w:rsidRDefault="00D46F0C" w:rsidP="00D46F0C">
      <w:pPr>
        <w:rPr>
          <w:b/>
          <w:bCs/>
        </w:rPr>
      </w:pPr>
      <w:r w:rsidRPr="00D46F0C">
        <w:rPr>
          <w:b/>
          <w:bCs/>
        </w:rPr>
        <w:lastRenderedPageBreak/>
        <w:t> Раздел III: Правна, икономическа, финансова и техническа информация </w:t>
      </w:r>
    </w:p>
    <w:p w:rsidR="00D46F0C" w:rsidRPr="00D46F0C" w:rsidRDefault="00D46F0C" w:rsidP="00D46F0C">
      <w:r w:rsidRPr="00D46F0C">
        <w:rPr>
          <w:b/>
          <w:bCs/>
        </w:rPr>
        <w:t>III.1) Условия за участие</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III.1.1) Годност за упражняване на професионалната дейност, включително изисквания във връзка с вписването в професионални или търговски регистри</w:t>
            </w:r>
            <w:r w:rsidRPr="00D46F0C">
              <w:t> </w:t>
            </w:r>
            <w:r w:rsidRPr="00D46F0C">
              <w:br/>
              <w:t>Списък и кратко описание на условията:</w:t>
            </w:r>
            <w:r w:rsidRPr="00D46F0C">
              <w:br/>
              <w:t>Участниците в обществената поръчка трябва да са вписани в Централния професионален регистър на строителя (ЦПРС) към Камара на строителите в България (КСБ), а за чуждестранните лица – в аналогичен регистър съгласно законодателството на държава – членка на Европейския съюз или на друга държава – страна по Споразумението за Европейското икономическо пространство, в която са установени.</w:t>
            </w:r>
            <w:r w:rsidRPr="00D46F0C">
              <w:br/>
              <w:t xml:space="preserve">Минимално ниво: Участникът следва да е вписан в Централния професионален регистър на строителя (ЦПРС) към Камарата на строителите в Р България за изпълнение на строежи от ВТОРА група, минимум ЧЕТВЪРТА категория по смисъла на чл. 5, ал. 6, т. 2.4.1. от Правилника за реда за вписване и водене на ЦПРС, </w:t>
            </w:r>
            <w:proofErr w:type="spellStart"/>
            <w:r w:rsidRPr="00D46F0C">
              <w:t>обн</w:t>
            </w:r>
            <w:proofErr w:type="spellEnd"/>
            <w:r w:rsidRPr="00D46F0C">
              <w:t>.,ДВ бр.100 от 15.12.2017г., което му позволява извършването на строителните работи, предмет на посочените обособени позиции от настоящата поръчка, съгласно ЗКС и ПРВВЦПРС.</w:t>
            </w:r>
            <w:r w:rsidRPr="00D46F0C">
              <w:br/>
              <w:t>При сключване на договора възложителят изисква копие на валидно Удостоверение за вписване в ЦПРС към Строителната камара за изпълнение на строежи от групата и категорията, в която попада обектът на поръчката.</w:t>
            </w:r>
            <w:r w:rsidRPr="00D46F0C">
              <w:br/>
              <w:t>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r w:rsidRPr="00D46F0C">
              <w:br/>
            </w:r>
            <w:r w:rsidRPr="00D46F0C">
              <w:lastRenderedPageBreak/>
              <w:t>При сключване на договора възложителят не изисква документи, съобразно разпоредбата на чл. 112, ал. 9 от ЗОП.</w:t>
            </w:r>
            <w:r w:rsidRPr="00D46F0C">
              <w:br/>
              <w:t>В хипотезата на чл.67, ал.5 от ЗОП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Във всеки конкретен случай възложителят съобразява разпоредбата на чл. 67, ал. 8 от ЗОП.</w:t>
            </w:r>
          </w:p>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lastRenderedPageBreak/>
              <w:t>III.1.2) Икономическо и финансово състояние</w:t>
            </w:r>
            <w:r w:rsidRPr="00D46F0C">
              <w:t> </w:t>
            </w:r>
            <w:r w:rsidRPr="00D46F0C">
              <w:br/>
              <w:t>Критерии за подбор, както е указано в документацията за обществената поръчка: НЕ</w:t>
            </w:r>
            <w:r w:rsidRPr="00D46F0C">
              <w:br/>
              <w:t>Списък и кратко описание на критериите за подбор:</w:t>
            </w:r>
            <w:r w:rsidRPr="00D46F0C">
              <w:br/>
              <w:t>Участникът трябва да е реализирал оборот от строително-монтажни работи, през последните 3 (три) приключили финансови години в зависимост от датата, на която участникът е създаден или е започнал дейността си, в размер не по-малък от прогнозната стойност на обществената поръчка. За участник – чуждестранно лице оборотът се изчислява по официалния курс на БНБ за съответната валута в лева към датата на подаване на офертата.</w:t>
            </w:r>
            <w:r w:rsidRPr="00D46F0C">
              <w:br/>
              <w:t>ДОКАЗВАНЕ: При подаване на офертата участникът декларира съответствие с поставеното изискване, като попълва част IV, раздел Б, т.2a) от ЕЕДОП.</w:t>
            </w:r>
            <w:r w:rsidRPr="00D46F0C">
              <w:br/>
              <w:t xml:space="preserve">При условията на чл. 67, ал. 5 от ЗОП възложителят може да изиска документи, чрез които се доказва декларираната в ЕЕДОП информация: Справка за оборота от строително монтажни работи за последните 3 (три) приключили финансови години, в зависимост от датата на която участникът е учреден или е започнал дейността си. При условията </w:t>
            </w:r>
            <w:proofErr w:type="spellStart"/>
            <w:r w:rsidRPr="00D46F0C">
              <w:t>начл</w:t>
            </w:r>
            <w:proofErr w:type="spellEnd"/>
            <w:r w:rsidRPr="00D46F0C">
              <w:t>. 67, ал. 6 от ЗОП, преди сключване на договора, определения изпълнител представя документите по предходното изречение (ако не са били представени по реда на чл. 67, ал. 5 от ЗОП).</w:t>
            </w:r>
            <w:r w:rsidRPr="00D46F0C">
              <w:br/>
              <w:t>При участие на обединения, които не са юридически лица, съответствието с критерия за подбор се доказва от обединението участник като цяло.</w:t>
            </w:r>
            <w:r w:rsidRPr="00D46F0C">
              <w:br/>
              <w:t>Забележка: Съгласно § 2, т. 66 от ДР на ЗОП “годишен общ оборот“ е сумата от нетните приходи от продажби по смисъла на Закона за счетоводството.</w:t>
            </w:r>
            <w:r w:rsidRPr="00D46F0C">
              <w:br/>
              <w:t>Участниците в обществената поръчка следва да имат застраховка „Професионална отговорност“ за „строител“, съгласно чл. 171, ал. 1 от Закона за устройство на територията.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w:t>
            </w:r>
            <w:r w:rsidRPr="00D46F0C">
              <w:br/>
              <w:t>В хипотезата на чл.67, ал.5 от ЗОП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Във всеки конкретен случай възложителят съобразява разпоредбата на чл. 67, ал. 8 от ЗОП.</w:t>
            </w:r>
            <w:r w:rsidRPr="00D46F0C">
              <w:br/>
              <w:t xml:space="preserve">При сключване на договора участникът, избран за изпълнител следва да представи заверени копия на годишните финансови отчети за последните 3 (три) приключили финансови години, в зависимост от датата, на която е създаден или е започнал </w:t>
            </w:r>
            <w:proofErr w:type="spellStart"/>
            <w:r w:rsidRPr="00D46F0C">
              <w:t>дейносттаси</w:t>
            </w:r>
            <w:proofErr w:type="spellEnd"/>
            <w:r w:rsidRPr="00D46F0C">
              <w:t>, или техните съставни части, когато публикуването им се изисква, съгласно законодателството на държавата, в която участникът е установен.</w:t>
            </w:r>
            <w:r w:rsidRPr="00D46F0C">
              <w:br/>
              <w:t>При сключване на договора възложителят не изисква документи, съобразно разпоредбата на чл. 112, ал. 9 от ЗОП.</w:t>
            </w:r>
            <w:r w:rsidRPr="00D46F0C">
              <w:br/>
              <w:t xml:space="preserve">При сключване на договора, участникът избран за изпълнител, следва да представи заверено копие на валидна застрахователна полица или еквивалентна застраховка за професионална отговорност или гаранция в случай че участникът е установен в друга държава – членка на Европейския съюз, или в страна по Споразумението за Европейското икономическо пространство /за чуждестранните лица/, съобразно декларираното в </w:t>
            </w:r>
            <w:proofErr w:type="spellStart"/>
            <w:r w:rsidRPr="00D46F0C">
              <w:t>еЕЕДОП</w:t>
            </w:r>
            <w:proofErr w:type="spellEnd"/>
            <w:r w:rsidRPr="00D46F0C">
              <w:t>, а в случай, че срокът на валидност на полицата изтича до датата на подписване на договора – и заверено копие на новата застрахователна полица.</w:t>
            </w:r>
            <w:r w:rsidRPr="00D46F0C">
              <w:br/>
              <w:t>При сключване на договора възложителят не изисква документи, съобразно разпоредбата на чл. 112, ал. 9 от ЗОП.</w:t>
            </w:r>
            <w:r w:rsidRPr="00D46F0C">
              <w:br/>
              <w:t>Изисквано минимално/ни ниво/а:</w:t>
            </w:r>
            <w:r w:rsidRPr="00D46F0C">
              <w:rPr>
                <w:vertAlign w:val="superscript"/>
              </w:rPr>
              <w:t>2</w:t>
            </w:r>
            <w:r w:rsidRPr="00D46F0C">
              <w:br/>
              <w:t>Участниците в обществената поръчка трябва за последните 3 (три) приключили финансови години, в зависимост от датата, на която са създадени или са започнали дейността да са реализирали минимален общ оборот в размер на 584 301,65 лв. ( петстотин осемдесет и четири хиляди триста и един лев и шестдесет и пет ст.), изчислен на база годишните обороти.</w:t>
            </w:r>
            <w:r w:rsidRPr="00D46F0C">
              <w:br/>
              <w:t>Участникът да е застрахован със застраховка „Професионална отговорност“ за „строител“ за застрахователно събитие на стойност съобразно чл. 5, ал. 2, т. 5 от Наредбата за условията и реда за задължително застраховане в проектирането и строителството (най-малко за ЧЕТВЪРТА категория съгласно чл.137, ал.1, т.4 от ЗУТ в съответствие с чл.5, ал.2, т.4 от Наредбата за условията и реда за задължително застраховане в проектирането и строителството (</w:t>
            </w:r>
            <w:proofErr w:type="spellStart"/>
            <w:r w:rsidRPr="00D46F0C">
              <w:t>обн</w:t>
            </w:r>
            <w:proofErr w:type="spellEnd"/>
            <w:r w:rsidRPr="00D46F0C">
              <w:t>.,ДВ бр.17 от 02.03.2004г.), т.е. не по-малък от 100 000 (сто хиляди) лева.</w:t>
            </w:r>
          </w:p>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III.1.3) Технически и професионални възможности</w:t>
            </w:r>
            <w:r w:rsidRPr="00D46F0C">
              <w:t> </w:t>
            </w:r>
            <w:r w:rsidRPr="00D46F0C">
              <w:br/>
              <w:t>Критерии за подбор, както е указано в документацията за обществената поръчка: НЕ</w:t>
            </w:r>
            <w:r w:rsidRPr="00D46F0C">
              <w:br/>
              <w:t>Списък и кратко описание на критериите за подбор:</w:t>
            </w:r>
            <w:r w:rsidRPr="00D46F0C">
              <w:br/>
              <w:t xml:space="preserve">Участникът следва да е изпълнил дейности с предмет и обем, идентични или сходни с тези на поръчката. При сключване на договора, участникът избран за изпълнител, следва да представи Списък на строителството, идентично или сходно с предмета на обществената поръчка, съобразно декларираното в </w:t>
            </w:r>
            <w:proofErr w:type="spellStart"/>
            <w:r w:rsidRPr="00D46F0C">
              <w:t>еЕЕДОП</w:t>
            </w:r>
            <w:proofErr w:type="spellEnd"/>
            <w:r w:rsidRPr="00D46F0C">
              <w:t>,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D46F0C">
              <w:br/>
              <w:t>При сключване на договора възложителят не изисква документи, съобразно разпоредбата на чл. 112, ал. 9 от ЗОП.</w:t>
            </w:r>
            <w:r w:rsidRPr="00D46F0C">
              <w:br/>
            </w:r>
            <w:r w:rsidRPr="00D46F0C">
              <w:lastRenderedPageBreak/>
              <w:t>В хипотезата на чл.67, ал.5 от ЗОП ,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Във всеки конкретен случай възложителят съобразява разпоредбата на чл. 67, ал. 8 от ЗОП.</w:t>
            </w:r>
            <w:r w:rsidRPr="00D46F0C">
              <w:br/>
              <w:t>Участникът трябва да разполага с ръководен състав с определена професионална компетентност за изпълнението на поръчката.В хипотезата на чл.67, ал.5 от ЗОП,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Във всеки конкретен случай, възложителят съобразява разпоредбата на чл. 67, ал. 8 от ЗОП.</w:t>
            </w:r>
            <w:r w:rsidRPr="00D46F0C">
              <w:br/>
              <w:t xml:space="preserve">Доказване:При сключване на договора участникът избран за изпълнител, следва да представи Списък на членовете на ръководния състав, които ще отговарят за изпълнението, съгласно декларираното в </w:t>
            </w:r>
            <w:proofErr w:type="spellStart"/>
            <w:r w:rsidRPr="00D46F0C">
              <w:t>еЕЕДОП</w:t>
            </w:r>
            <w:proofErr w:type="spellEnd"/>
            <w:r w:rsidRPr="00D46F0C">
              <w:t>. както и документи, които доказват професионална компетентност на лицата. При сключване на договора възложителят не изисква документи, съобразно разпоредбата на чл. 112, ал. 9 от ЗОП. Участникът трябва да е сертифициран в областта на строителството по следните стандарти:</w:t>
            </w:r>
            <w:r w:rsidRPr="00D46F0C">
              <w:br/>
              <w:t xml:space="preserve">БДС EN ISO 9001:2015 Системи за управление на качеството или еквивалентен, БДС EN ISO 14001:2015 Системи за управление на околната среда или еквивалентен. Сертификатите следва да са издадени от независими лица, които са акредитирани по съответната серия европейски стандарти от Изпълнителна агенция "БСА"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ЗНАООС. Възложителят приема </w:t>
            </w:r>
            <w:proofErr w:type="spellStart"/>
            <w:r w:rsidRPr="00D46F0C">
              <w:t>екв</w:t>
            </w:r>
            <w:proofErr w:type="spellEnd"/>
            <w:r w:rsidRPr="00D46F0C">
              <w:t>.сертификати, издадени от органи, установени в други държави членки.</w:t>
            </w:r>
            <w:r w:rsidRPr="00D46F0C">
              <w:br/>
              <w:t>Изисквано минимално/ни ниво/а:</w:t>
            </w:r>
            <w:r w:rsidRPr="00D46F0C">
              <w:rPr>
                <w:vertAlign w:val="superscript"/>
              </w:rPr>
              <w:t>2</w:t>
            </w:r>
            <w:r w:rsidRPr="00D46F0C">
              <w:br/>
              <w:t>През последните 5 (пет) години, считано от датата на подаване на офертата, участникът следва да е изпълнил строителни дейности(на един или няколко обекта) с предмет и обем, идентични или сходни с тези на поръчката.</w:t>
            </w:r>
            <w:r w:rsidRPr="00D46F0C">
              <w:br/>
              <w:t>За „строителни дейности с предмет и обем, идентични или сходни с тези на поръчката“ се приемат строителни дейности (на един или няколко обекта) по изграждане и/или доизграждане и/или реконструкция и/или основен ремонт на пътна и улична мрежа.</w:t>
            </w:r>
            <w:r w:rsidRPr="00D46F0C">
              <w:br/>
              <w:t>? Ръководител на обекта (1 бр.) – да притежава висше образование, специалност „Пътно строителство” или еквивалентна, професионален опит от минимум 5 (пет) години и участие, като „ръководител или зам. ръководител на обект” на минимум 1 обект с предмет, сходен на предмета на обществената поръчка;</w:t>
            </w:r>
            <w:r w:rsidRPr="00D46F0C">
              <w:br/>
              <w:t>? Технически ръководител(1 бр.) – лице, отговарящо на изискванията на чл. 163а от ЗУТ, притежаващо професионален опит от минимум 3 (три) години и участие като „технически ръководител” на минимум 1 обект с предмет, сходен на предмета на обществената поръчка;</w:t>
            </w:r>
            <w:r w:rsidRPr="00D46F0C">
              <w:br/>
              <w:t>? Експерт по контрол на качеството (1 бр.) – да притежава валидно удостоверение/сертификат за контрол на качеството или еквивалент;</w:t>
            </w:r>
            <w:r w:rsidRPr="00D46F0C">
              <w:br/>
              <w:t>? Експерт по безопасност и здраве (КБЗ) (1 бр.) – да притежава валидно удостоверение за Длъжностно лице по безопасност и здраве в строителството,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еквивалент.Под обект с предмет, сходен на предмета на обществената поръчка следва да се разбира строително-монтажни работи в областта на изграждане и/или реконструкция и/или рехабилитация на пътна и/или улична мрежа.</w:t>
            </w:r>
            <w:r w:rsidRPr="00D46F0C">
              <w:br/>
              <w:t xml:space="preserve">Под „еквивалентно образование” следва да се разбира специалност, получена в чуждестранно учебно заведение в еквивалентни на тези области специалности по смисъла на ПМС 125 от 24.06.2002 г. за утвърждаване Класификатор на областите на висше образование и професионалните направления. Под „еквивалентно обучение“ следва да се разбира обучение, проведено от чуждестранен </w:t>
            </w:r>
            <w:proofErr w:type="spellStart"/>
            <w:r w:rsidRPr="00D46F0C">
              <w:t>обучител</w:t>
            </w:r>
            <w:proofErr w:type="spellEnd"/>
            <w:r w:rsidRPr="00D46F0C">
              <w:t xml:space="preserve"> на теми, еквивалентни на изискваните за съответните позиции.Един експерт може да съвместява повече от една позиция от изискуемия ръководен състав за изпълнение на поръчката.Участникът трябва да е сертифициран в областта на строителството по следните стандарти:БДС EN ISO 9001:2015 Системи за управление на качеството или еквивалентен, БДС EN ISO 14001:2015 Системи за управление на околната среда или еквивалентен.Сертификатите следва да са издадени от независими лица, които са акредитирани по съответната серия европейски стандарти от Изпълнителна агенция "БСА"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ЗНАООС. Възложителят приема </w:t>
            </w:r>
            <w:proofErr w:type="spellStart"/>
            <w:r w:rsidRPr="00D46F0C">
              <w:t>екв</w:t>
            </w:r>
            <w:proofErr w:type="spellEnd"/>
            <w:r w:rsidRPr="00D46F0C">
              <w:t>.сертификати, издадени от органи, установени в други държави членки.</w:t>
            </w:r>
            <w:r w:rsidRPr="00D46F0C">
              <w:b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lastRenderedPageBreak/>
              <w:t>III.1.5) Информация относно запазени поръчки</w:t>
            </w:r>
            <w:r w:rsidRPr="00D46F0C">
              <w:t> </w:t>
            </w:r>
            <w:r w:rsidRPr="00D46F0C">
              <w:rPr>
                <w:vertAlign w:val="superscript"/>
              </w:rPr>
              <w:t>2</w:t>
            </w:r>
            <w:r w:rsidRPr="00D46F0C">
              <w:br/>
              <w:t>Поръчката е запазена за защитени предприятия и икономически оператори, насочени към социална и професионална интеграция на лица с увреждания или лица в неравностойно положение: НЕ</w:t>
            </w:r>
            <w:r w:rsidRPr="00D46F0C">
              <w:br/>
              <w:t>Изпълнението на поръчката е ограничено в рамките на програми за създаване на защитени работни места: НЕ</w:t>
            </w:r>
          </w:p>
        </w:tc>
      </w:tr>
    </w:tbl>
    <w:p w:rsidR="00D46F0C" w:rsidRPr="00D46F0C" w:rsidRDefault="00D46F0C" w:rsidP="00D46F0C">
      <w:r w:rsidRPr="00D46F0C">
        <w:rPr>
          <w:b/>
          <w:bCs/>
        </w:rPr>
        <w:t>III.2) Условия във връзка с поръчката </w:t>
      </w:r>
      <w:r w:rsidRPr="00D46F0C">
        <w:rPr>
          <w:b/>
          <w:bCs/>
          <w:vertAlign w:val="superscript"/>
        </w:rPr>
        <w:t>2</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lastRenderedPageBreak/>
              <w:t>III.2.1) Информация относно определена професия</w:t>
            </w:r>
            <w:r w:rsidRPr="00D46F0C">
              <w:t> </w:t>
            </w:r>
            <w:r w:rsidRPr="00D46F0C">
              <w:rPr>
                <w:i/>
                <w:iCs/>
              </w:rPr>
              <w:t>(само за поръчки за услуги)</w:t>
            </w:r>
            <w:r w:rsidRPr="00D46F0C">
              <w:br/>
            </w:r>
            <w:proofErr w:type="spellStart"/>
            <w:r w:rsidRPr="00D46F0C">
              <w:t>Изпълненито</w:t>
            </w:r>
            <w:proofErr w:type="spellEnd"/>
            <w:r w:rsidRPr="00D46F0C">
              <w:t xml:space="preserve"> на поръчката е ограничено до определена професия: НЕ</w:t>
            </w:r>
            <w:r w:rsidRPr="00D46F0C">
              <w:br/>
              <w:t>Позоваване на приложимата законова, подзаконова или административна разпоредба:</w:t>
            </w:r>
          </w:p>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III.2.2) Условия за изпълнение на поръчката</w:t>
            </w:r>
            <w:r w:rsidRPr="00D46F0C">
              <w:t>:</w:t>
            </w:r>
            <w:r w:rsidRPr="00D46F0C">
              <w:br/>
              <w:t>Гаранцията за изпълнение на договора е в размер на 5% (пет процента) от стойността на договора за обществена поръчка без включен ДДС. 2. Гаранциите се предоставят в една от следните форми: парична сума; банкова гаранция; застраховка, която обезпечава изпълнението чрез покритие на отговорността на изпълнителя. Валидността на гаранцията за изпълнение следва да бъде не по-малка от 30 (тридесет) дни след приключване на всички дейности, включени в предмета на договора.Гаранция за авансово предоставени средства:Възложителят предвижда гаранция за авансово предоставени средства в размер до 50% (петдесет процента) от стойността на договора без ДДС/в размер на авансово предоставените средства/, предоставена в една от предвидените форми съгласно чл. 111, ал. 5 от ЗОП, избрана от Изпълнителя.</w:t>
            </w:r>
          </w:p>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III.2.3) Информация относно персонала, който отговаря за изпълнението на поръчката</w:t>
            </w:r>
            <w:r w:rsidRPr="00D46F0C">
              <w:br/>
              <w:t>Задължение за посочване на имената и професионалните квалификации на персонала, който отговаря за изпълнението на поръчката: НЕ</w:t>
            </w:r>
          </w:p>
        </w:tc>
      </w:tr>
    </w:tbl>
    <w:p w:rsidR="00D46F0C" w:rsidRPr="00D46F0C" w:rsidRDefault="00D46F0C" w:rsidP="00D46F0C">
      <w:pPr>
        <w:rPr>
          <w:b/>
          <w:bCs/>
        </w:rPr>
      </w:pPr>
      <w:r w:rsidRPr="00D46F0C">
        <w:rPr>
          <w:b/>
          <w:bCs/>
        </w:rPr>
        <w:t> Раздел IV:Процедура </w:t>
      </w:r>
    </w:p>
    <w:p w:rsidR="00D46F0C" w:rsidRPr="00D46F0C" w:rsidRDefault="00D46F0C" w:rsidP="00D46F0C">
      <w:r w:rsidRPr="00D46F0C">
        <w:rPr>
          <w:b/>
          <w:bCs/>
        </w:rPr>
        <w:t>IV.1) Описание</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81"/>
            </w:tblGrid>
            <w:tr w:rsidR="00D46F0C" w:rsidRPr="00D46F0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5"/>
                  </w:tblGrid>
                  <w:tr w:rsidR="00D46F0C" w:rsidRPr="00D46F0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pPr>
                          <w:rPr>
                            <w:b/>
                            <w:bCs/>
                          </w:rPr>
                        </w:pPr>
                        <w:r w:rsidRPr="00D46F0C">
                          <w:rPr>
                            <w:b/>
                            <w:bCs/>
                          </w:rPr>
                          <w:t>IV.1.1)Вид процедура: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5"/>
                        </w:tblGrid>
                        <w:tr w:rsidR="00D46F0C" w:rsidRPr="00D46F0C">
                          <w:trPr>
                            <w:tblCellSpacing w:w="15" w:type="dxa"/>
                          </w:trPr>
                          <w:tc>
                            <w:tcPr>
                              <w:tcW w:w="0" w:type="auto"/>
                              <w:tcBorders>
                                <w:top w:val="nil"/>
                                <w:left w:val="nil"/>
                                <w:bottom w:val="nil"/>
                                <w:right w:val="nil"/>
                              </w:tcBorders>
                              <w:vAlign w:val="center"/>
                              <w:hideMark/>
                            </w:tcPr>
                            <w:p w:rsidR="00D46F0C" w:rsidRPr="00D46F0C" w:rsidRDefault="00D46F0C" w:rsidP="00D46F0C">
                              <w:r w:rsidRPr="00D46F0C">
                                <w:t>Публично състезание</w:t>
                              </w:r>
                            </w:p>
                          </w:tc>
                        </w:tr>
                      </w:tbl>
                      <w:p w:rsidR="00D46F0C" w:rsidRPr="00D46F0C" w:rsidRDefault="00D46F0C" w:rsidP="00D46F0C">
                        <w:pPr>
                          <w:rPr>
                            <w:b/>
                            <w:bCs/>
                          </w:rPr>
                        </w:pPr>
                      </w:p>
                    </w:tc>
                  </w:tr>
                  <w:tr w:rsidR="00D46F0C" w:rsidRPr="00D46F0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Ускорена процедура: НЕ</w:t>
                        </w:r>
                        <w:r w:rsidRPr="00D46F0C">
                          <w:br/>
                          <w:t>Обосновка за избор на ускорена процедура:</w:t>
                        </w:r>
                      </w:p>
                    </w:tc>
                  </w:tr>
                </w:tbl>
                <w:p w:rsidR="00D46F0C" w:rsidRPr="00D46F0C" w:rsidRDefault="00D46F0C" w:rsidP="00D46F0C"/>
              </w:tc>
            </w:tr>
          </w:tbl>
          <w:p w:rsidR="00D46F0C" w:rsidRPr="00D46F0C" w:rsidRDefault="00D46F0C" w:rsidP="00D46F0C"/>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 xml:space="preserve">IV.1.3) Информация относно рамково </w:t>
            </w:r>
            <w:proofErr w:type="spellStart"/>
            <w:r w:rsidRPr="00D46F0C">
              <w:rPr>
                <w:b/>
                <w:bCs/>
              </w:rPr>
              <w:t>споразмение</w:t>
            </w:r>
            <w:proofErr w:type="spellEnd"/>
            <w:r w:rsidRPr="00D46F0C">
              <w:rPr>
                <w:b/>
                <w:bCs/>
              </w:rPr>
              <w:t xml:space="preserve"> или динамична система за покупки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54"/>
            </w:tblGrid>
            <w:tr w:rsidR="00D46F0C" w:rsidRPr="00D46F0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Тази обществена поръчка обхваща сключването на рамково споразумение: НЕ</w:t>
                  </w:r>
                </w:p>
                <w:p w:rsidR="00D46F0C" w:rsidRPr="00D46F0C" w:rsidRDefault="00D46F0C" w:rsidP="00D46F0C">
                  <w:r w:rsidRPr="00D46F0C">
                    <w:t>    Предвиден максимален брой участници в рамковото споразумение: </w:t>
                  </w:r>
                  <w:r w:rsidRPr="00D46F0C">
                    <w:rPr>
                      <w:vertAlign w:val="superscript"/>
                    </w:rPr>
                    <w:t>2</w:t>
                  </w:r>
                  <w:r w:rsidRPr="00D46F0C">
                    <w:br/>
                    <w:t>  В случай на рамкови споразумения - обосноваване на срока, чиято продължителност надвишава четири години:</w:t>
                  </w:r>
                </w:p>
              </w:tc>
            </w:tr>
            <w:tr w:rsidR="00D46F0C" w:rsidRPr="00D46F0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br/>
                    <w:t>Тази обществена поръчка обхваща създаването на динамична система за покупки: НЕ</w:t>
                  </w:r>
                </w:p>
                <w:p w:rsidR="00D46F0C" w:rsidRPr="00D46F0C" w:rsidRDefault="00D46F0C" w:rsidP="00D46F0C">
                  <w:r w:rsidRPr="00D46F0C">
                    <w:t>Динамичната система за покупки може да бъде използвана от допълнителни купувачи: НЕ</w:t>
                  </w:r>
                </w:p>
              </w:tc>
            </w:tr>
          </w:tbl>
          <w:p w:rsidR="00D46F0C" w:rsidRPr="00D46F0C" w:rsidRDefault="00D46F0C" w:rsidP="00D46F0C"/>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IV.1.4) Информация относно намаляване на броя на решенията или офертите по време на договарянето или на диалога</w:t>
            </w:r>
          </w:p>
          <w:p w:rsidR="00D46F0C" w:rsidRPr="00D46F0C" w:rsidRDefault="00D46F0C" w:rsidP="00D46F0C">
            <w:r w:rsidRPr="00D46F0C">
              <w:t>Прилагане на поетапна процедура за постепенно намаляване на броя на обсъжданите решения или на договаряните оферти: НЕ</w:t>
            </w:r>
          </w:p>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IV.1.5) Информация относно договаряне </w:t>
            </w:r>
            <w:r w:rsidRPr="00D46F0C">
              <w:rPr>
                <w:i/>
                <w:iCs/>
              </w:rPr>
              <w:t>(само за състезателни процедури с договаряне)</w:t>
            </w:r>
          </w:p>
          <w:p w:rsidR="00D46F0C" w:rsidRPr="00D46F0C" w:rsidRDefault="00D46F0C" w:rsidP="00D46F0C">
            <w:r w:rsidRPr="00D46F0C">
              <w:lastRenderedPageBreak/>
              <w:t>Възлагащият орган си запазва правото да възложи поръчката въз основа на първоначалните оферти, без да провежда преговори: НЕ</w:t>
            </w:r>
          </w:p>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lastRenderedPageBreak/>
              <w:t>IV.1.6) Информация относно електронния търг</w:t>
            </w:r>
          </w:p>
          <w:p w:rsidR="00D46F0C" w:rsidRPr="00D46F0C" w:rsidRDefault="00D46F0C" w:rsidP="00D46F0C">
            <w:r w:rsidRPr="00D46F0C">
              <w:t>Ще се използва електронен търг: НЕ</w:t>
            </w:r>
            <w:r w:rsidRPr="00D46F0C">
              <w:br/>
              <w:t>Допълнителна информация относно електронния търг:</w:t>
            </w:r>
          </w:p>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IV.1.8) Информация относно Споразумението за държавни поръчки (GPA)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11"/>
            </w:tblGrid>
            <w:tr w:rsidR="00D46F0C" w:rsidRPr="00D46F0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Обществената поръчка попада в обхвата на Споразумението за държавни поръчки: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
                  </w:tblGrid>
                  <w:tr w:rsidR="00D46F0C" w:rsidRPr="00D46F0C">
                    <w:trPr>
                      <w:tblCellSpacing w:w="15" w:type="dxa"/>
                    </w:trPr>
                    <w:tc>
                      <w:tcPr>
                        <w:tcW w:w="0" w:type="auto"/>
                        <w:tcBorders>
                          <w:top w:val="nil"/>
                          <w:left w:val="nil"/>
                          <w:bottom w:val="nil"/>
                          <w:right w:val="nil"/>
                        </w:tcBorders>
                        <w:vAlign w:val="center"/>
                        <w:hideMark/>
                      </w:tcPr>
                      <w:p w:rsidR="00D46F0C" w:rsidRPr="00D46F0C" w:rsidRDefault="00D46F0C" w:rsidP="00D46F0C">
                        <w:r w:rsidRPr="00D46F0C">
                          <w:t>не</w:t>
                        </w:r>
                      </w:p>
                    </w:tc>
                  </w:tr>
                </w:tbl>
                <w:p w:rsidR="00D46F0C" w:rsidRPr="00D46F0C" w:rsidRDefault="00D46F0C" w:rsidP="00D46F0C"/>
              </w:tc>
            </w:tr>
          </w:tbl>
          <w:p w:rsidR="00D46F0C" w:rsidRPr="00D46F0C" w:rsidRDefault="00D46F0C" w:rsidP="00D46F0C"/>
        </w:tc>
      </w:tr>
    </w:tbl>
    <w:p w:rsidR="00D46F0C" w:rsidRPr="00D46F0C" w:rsidRDefault="00D46F0C" w:rsidP="00D46F0C">
      <w:r w:rsidRPr="00D46F0C">
        <w:rPr>
          <w:b/>
          <w:bCs/>
        </w:rPr>
        <w:t>IV.2) Административна информация</w:t>
      </w:r>
      <w:r w:rsidRPr="00D46F0C">
        <w:t> </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IV.2.1) Предишна публикация относно тази процедура </w:t>
            </w:r>
            <w:r w:rsidRPr="00D46F0C">
              <w:rPr>
                <w:vertAlign w:val="superscript"/>
              </w:rPr>
              <w:t>2</w:t>
            </w:r>
          </w:p>
          <w:p w:rsidR="00D46F0C" w:rsidRPr="00D46F0C" w:rsidRDefault="00D46F0C" w:rsidP="00D46F0C">
            <w:r w:rsidRPr="00D46F0C">
              <w:t>Номер на обявлението в ОВ на ЕС:</w:t>
            </w:r>
            <w:r w:rsidRPr="00D46F0C">
              <w:br/>
            </w:r>
            <w:r w:rsidRPr="00D46F0C">
              <w:rPr>
                <w:i/>
                <w:iCs/>
              </w:rPr>
              <w:t>(Едно от следните: Обявление за предварителна информация; Обявление на профила на купувача)</w:t>
            </w:r>
            <w:r w:rsidRPr="00D46F0C">
              <w:br/>
              <w:t>Номер на обявлението в РОП:</w:t>
            </w:r>
          </w:p>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IV.2.2) Срок за получаване на оферти или на заявления за участие</w:t>
            </w:r>
          </w:p>
          <w:p w:rsidR="00D46F0C" w:rsidRPr="00D46F0C" w:rsidRDefault="00D46F0C" w:rsidP="00D46F0C">
            <w:r w:rsidRPr="00D46F0C">
              <w:t>Дата: 13/04/2020 </w:t>
            </w:r>
            <w:r w:rsidRPr="00D46F0C">
              <w:rPr>
                <w:i/>
                <w:iCs/>
              </w:rPr>
              <w:t>(</w:t>
            </w:r>
            <w:proofErr w:type="spellStart"/>
            <w:r w:rsidRPr="00D46F0C">
              <w:rPr>
                <w:i/>
                <w:iCs/>
              </w:rPr>
              <w:t>дд</w:t>
            </w:r>
            <w:proofErr w:type="spellEnd"/>
            <w:r w:rsidRPr="00D46F0C">
              <w:rPr>
                <w:i/>
                <w:iCs/>
              </w:rPr>
              <w:t>/мм/</w:t>
            </w:r>
            <w:proofErr w:type="spellStart"/>
            <w:r w:rsidRPr="00D46F0C">
              <w:rPr>
                <w:i/>
                <w:iCs/>
              </w:rPr>
              <w:t>гггг</w:t>
            </w:r>
            <w:proofErr w:type="spellEnd"/>
            <w:r w:rsidRPr="00D46F0C">
              <w:rPr>
                <w:i/>
                <w:iCs/>
              </w:rPr>
              <w:t>)</w:t>
            </w:r>
            <w:r w:rsidRPr="00D46F0C">
              <w:t>   Местно време: 17:00 </w:t>
            </w:r>
            <w:r w:rsidRPr="00D46F0C">
              <w:rPr>
                <w:i/>
                <w:iCs/>
              </w:rPr>
              <w:t>(</w:t>
            </w:r>
            <w:proofErr w:type="spellStart"/>
            <w:r w:rsidRPr="00D46F0C">
              <w:rPr>
                <w:i/>
                <w:iCs/>
              </w:rPr>
              <w:t>чч</w:t>
            </w:r>
            <w:proofErr w:type="spellEnd"/>
            <w:r w:rsidRPr="00D46F0C">
              <w:rPr>
                <w:i/>
                <w:iCs/>
              </w:rPr>
              <w:t>:мм)</w:t>
            </w:r>
          </w:p>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IV.2.3) Прогнозна дата на изпращане на покани за търг или за участие на избраните кандидати </w:t>
            </w:r>
            <w:r w:rsidRPr="00D46F0C">
              <w:rPr>
                <w:vertAlign w:val="superscript"/>
              </w:rPr>
              <w:t>4</w:t>
            </w:r>
          </w:p>
          <w:p w:rsidR="00D46F0C" w:rsidRPr="00D46F0C" w:rsidRDefault="00D46F0C" w:rsidP="00D46F0C">
            <w:r w:rsidRPr="00D46F0C">
              <w:t>Дата:    </w:t>
            </w:r>
          </w:p>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IV.2.4) Езици, на които могат да бъдат подадени офертите или заявленията за участие: </w:t>
            </w:r>
            <w:r w:rsidRPr="00D46F0C">
              <w:rPr>
                <w:vertAlign w:val="superscript"/>
              </w:rPr>
              <w:t>1</w:t>
            </w:r>
            <w:r w:rsidRPr="00D46F0C">
              <w:t>  BG</w:t>
            </w:r>
          </w:p>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 xml:space="preserve">IV.2.6) Минимален срок, през който </w:t>
            </w:r>
            <w:proofErr w:type="spellStart"/>
            <w:r w:rsidRPr="00D46F0C">
              <w:rPr>
                <w:b/>
                <w:bCs/>
              </w:rPr>
              <w:t>оферентът</w:t>
            </w:r>
            <w:proofErr w:type="spellEnd"/>
            <w:r w:rsidRPr="00D46F0C">
              <w:rPr>
                <w:b/>
                <w:bCs/>
              </w:rPr>
              <w:t xml:space="preserve"> е обвързан от офертата</w:t>
            </w:r>
          </w:p>
          <w:p w:rsidR="00D46F0C" w:rsidRPr="00D46F0C" w:rsidRDefault="00D46F0C" w:rsidP="00D46F0C">
            <w:r w:rsidRPr="00D46F0C">
              <w:t>Офертата трябва да бъде валидна до:</w:t>
            </w:r>
            <w:r w:rsidRPr="00D46F0C">
              <w:br/>
            </w:r>
            <w:r w:rsidRPr="00D46F0C">
              <w:rPr>
                <w:i/>
                <w:iCs/>
              </w:rPr>
              <w:t>или </w:t>
            </w:r>
            <w:r w:rsidRPr="00D46F0C">
              <w:t>Продължителност в месеци: 9</w:t>
            </w:r>
          </w:p>
          <w:p w:rsidR="00000000" w:rsidRPr="00D46F0C" w:rsidRDefault="00D46F0C" w:rsidP="00D46F0C">
            <w:r w:rsidRPr="00D46F0C">
              <w:t>(от датата, която е посочена за дата на получаване на офертата)</w:t>
            </w:r>
          </w:p>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IV.2.7) Условия за отваряне на офертите</w:t>
            </w:r>
          </w:p>
          <w:p w:rsidR="00D46F0C" w:rsidRPr="00D46F0C" w:rsidRDefault="00D46F0C" w:rsidP="00D46F0C">
            <w:r w:rsidRPr="00D46F0C">
              <w:t>Дата: 14/04/2020 </w:t>
            </w:r>
            <w:r w:rsidRPr="00D46F0C">
              <w:rPr>
                <w:i/>
                <w:iCs/>
              </w:rPr>
              <w:t>(</w:t>
            </w:r>
            <w:proofErr w:type="spellStart"/>
            <w:r w:rsidRPr="00D46F0C">
              <w:rPr>
                <w:i/>
                <w:iCs/>
              </w:rPr>
              <w:t>дд</w:t>
            </w:r>
            <w:proofErr w:type="spellEnd"/>
            <w:r w:rsidRPr="00D46F0C">
              <w:rPr>
                <w:i/>
                <w:iCs/>
              </w:rPr>
              <w:t>/мм/</w:t>
            </w:r>
            <w:proofErr w:type="spellStart"/>
            <w:r w:rsidRPr="00D46F0C">
              <w:rPr>
                <w:i/>
                <w:iCs/>
              </w:rPr>
              <w:t>гггг</w:t>
            </w:r>
            <w:proofErr w:type="spellEnd"/>
            <w:r w:rsidRPr="00D46F0C">
              <w:rPr>
                <w:i/>
                <w:iCs/>
              </w:rPr>
              <w:t>)</w:t>
            </w:r>
            <w:r w:rsidRPr="00D46F0C">
              <w:t>   Местно време: 11:00 </w:t>
            </w:r>
            <w:r w:rsidRPr="00D46F0C">
              <w:rPr>
                <w:i/>
                <w:iCs/>
              </w:rPr>
              <w:t>(</w:t>
            </w:r>
            <w:proofErr w:type="spellStart"/>
            <w:r w:rsidRPr="00D46F0C">
              <w:rPr>
                <w:i/>
                <w:iCs/>
              </w:rPr>
              <w:t>чч</w:t>
            </w:r>
            <w:proofErr w:type="spellEnd"/>
            <w:r w:rsidRPr="00D46F0C">
              <w:rPr>
                <w:i/>
                <w:iCs/>
              </w:rPr>
              <w:t>:мм)</w:t>
            </w:r>
            <w:r w:rsidRPr="00D46F0C">
              <w:br/>
              <w:t>Място:</w:t>
            </w:r>
            <w:r w:rsidRPr="00D46F0C">
              <w:br/>
              <w:t>В заседателна зала №14,ет.2 в сградата на община Симеоновград,пл.Шейновски № 3, гр.Симеоновград.</w:t>
            </w:r>
            <w:r w:rsidRPr="00D46F0C">
              <w:br/>
              <w:t>Информация относно упълномощените лица и процедурата на отваряне:</w:t>
            </w:r>
            <w:r w:rsidRPr="00D46F0C">
              <w:br/>
              <w:t xml:space="preserve">Отваряне на постъпилите оферти е публично и на него могат да присъстват участниците в процедурата или техни упълномощени представители,както и представители на средствата за масово </w:t>
            </w:r>
            <w:r w:rsidRPr="00D46F0C">
              <w:lastRenderedPageBreak/>
              <w:t>осведомяване.</w:t>
            </w:r>
          </w:p>
        </w:tc>
      </w:tr>
    </w:tbl>
    <w:p w:rsidR="00D46F0C" w:rsidRPr="00D46F0C" w:rsidRDefault="00D46F0C" w:rsidP="00D46F0C">
      <w:pPr>
        <w:rPr>
          <w:b/>
          <w:bCs/>
        </w:rPr>
      </w:pPr>
      <w:r w:rsidRPr="00D46F0C">
        <w:rPr>
          <w:b/>
          <w:bCs/>
        </w:rPr>
        <w:lastRenderedPageBreak/>
        <w:t> Раздел VI: Допълнителна информация</w:t>
      </w:r>
    </w:p>
    <w:p w:rsidR="00D46F0C" w:rsidRPr="00D46F0C" w:rsidRDefault="00D46F0C" w:rsidP="00D46F0C">
      <w:r w:rsidRPr="00D46F0C">
        <w:rPr>
          <w:b/>
          <w:bCs/>
        </w:rPr>
        <w:t>VI.1) Информация относно периодичното възлагане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 xml:space="preserve">Това </w:t>
            </w:r>
            <w:proofErr w:type="spellStart"/>
            <w:r w:rsidRPr="00D46F0C">
              <w:t>представялява</w:t>
            </w:r>
            <w:proofErr w:type="spellEnd"/>
            <w:r w:rsidRPr="00D46F0C">
              <w:t xml:space="preserve"> периодично повтаряща се поръчка: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
            </w:tblGrid>
            <w:tr w:rsidR="00D46F0C" w:rsidRPr="00D46F0C">
              <w:trPr>
                <w:tblCellSpacing w:w="15" w:type="dxa"/>
              </w:trPr>
              <w:tc>
                <w:tcPr>
                  <w:tcW w:w="0" w:type="auto"/>
                  <w:tcBorders>
                    <w:top w:val="nil"/>
                    <w:left w:val="nil"/>
                    <w:bottom w:val="nil"/>
                    <w:right w:val="nil"/>
                  </w:tcBorders>
                  <w:vAlign w:val="center"/>
                  <w:hideMark/>
                </w:tcPr>
                <w:p w:rsidR="00D46F0C" w:rsidRPr="00D46F0C" w:rsidRDefault="00D46F0C" w:rsidP="00D46F0C">
                  <w:r w:rsidRPr="00D46F0C">
                    <w:t>не</w:t>
                  </w:r>
                </w:p>
              </w:tc>
            </w:tr>
          </w:tbl>
          <w:p w:rsidR="00D46F0C" w:rsidRPr="00D46F0C" w:rsidRDefault="00D46F0C" w:rsidP="00D46F0C">
            <w:r w:rsidRPr="00D46F0C">
              <w:br/>
              <w:t>Прогнозни срокове за публикуването на следващи обявления: </w:t>
            </w:r>
            <w:r w:rsidRPr="00D46F0C">
              <w:rPr>
                <w:vertAlign w:val="superscript"/>
              </w:rPr>
              <w:t>2</w:t>
            </w:r>
          </w:p>
        </w:tc>
      </w:tr>
    </w:tbl>
    <w:p w:rsidR="00D46F0C" w:rsidRPr="00D46F0C" w:rsidRDefault="00D46F0C" w:rsidP="00D46F0C">
      <w:r w:rsidRPr="00D46F0C">
        <w:rPr>
          <w:b/>
          <w:bCs/>
        </w:rPr>
        <w:t>VI.2) Информация относно електронното възлагане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Ще се прилага електронно поръчване: НЕ</w:t>
            </w:r>
            <w:r w:rsidRPr="00D46F0C">
              <w:br/>
              <w:t>Ще се използва електронно фактуриране: НЕ</w:t>
            </w:r>
            <w:r w:rsidRPr="00D46F0C">
              <w:br/>
              <w:t>Ще се приема електронно заплащане: НЕ</w:t>
            </w:r>
          </w:p>
        </w:tc>
      </w:tr>
    </w:tbl>
    <w:p w:rsidR="00D46F0C" w:rsidRPr="00D46F0C" w:rsidRDefault="00D46F0C" w:rsidP="00D46F0C">
      <w:r w:rsidRPr="00D46F0C">
        <w:rPr>
          <w:b/>
          <w:bCs/>
        </w:rPr>
        <w:t>VI.3) Допълнителна информация </w:t>
      </w:r>
      <w:r w:rsidRPr="00D46F0C">
        <w:rPr>
          <w:b/>
          <w:bCs/>
          <w:vertAlign w:val="superscript"/>
        </w:rPr>
        <w:t>2</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В процедурата за възлагане на обществена поръчка може да участва всяко българско или чуждестранно физическо или юридическо лице, техни обединения, както и всяко друго образувание, което има правото да изпълнява услуги, съгласно законодателството на държавата, в която е установено.Лице, което участва в обединение или е дало съгласие да бъде подизпълнител на друг участник, не може да подава самостоятелно заявление за участие или оферта.</w:t>
            </w:r>
            <w:r w:rsidRPr="00D46F0C">
              <w:br/>
              <w:t>В процедурата за възлагане на обществена поръчка едно физическо или юридическо лице може да участва само в едно обединение. Клон на чуждестранно лице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В случай, че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ресурси.За участниците следва да не са налице основанията за отстраняване чл. 54, ал. 1 и чл.55, ал. 1 от ЗОП. Специфични национални основания за отстраняване, които следва да не са налице за участниците са:- осъждания за престъпления по чл. 108а, чл. 159а - 159г, чл. 172, чл. 192а, чл. 194 - 217, чл. 219 - 252, чл. 253 - 260, чл. 301 - 307, чл. 321, 321а и чл. 352 - 353е от Наказателния кодекс (чл. 54, ал. 1, т. 1 от ЗОП);</w:t>
            </w:r>
            <w:r w:rsidRPr="00D46F0C">
              <w:br/>
              <w:t xml:space="preserve">- нарушения по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 наличие на свързаност по смисъла на </w:t>
            </w:r>
            <w:proofErr w:type="spellStart"/>
            <w:r w:rsidRPr="00D46F0C">
              <w:t>пар</w:t>
            </w:r>
            <w:proofErr w:type="spellEnd"/>
            <w:r w:rsidRPr="00D46F0C">
              <w:t>. 2, т. 45 от ДР на ЗОП между участници в конкретна процедура (чл. 107, т. 4 от ЗОП), като под „свързани лица” се разбират лица по смисъла на т.45 от §2 на ДР към ЗОП с друг участник в настоящата процедура;-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собственици(ЗИФОДРЮПДРКЛТДС), освен ако са налице изключенията по чл. 4 от ЗИФОДРЮПДРКЛТДС;- обстоятелства по чл. 69 от Закона за противодействие на корупцията и за отнемане на незаконно придобитото имущество. Удостоверяване:</w:t>
            </w:r>
            <w:r w:rsidRPr="00D46F0C">
              <w:br/>
              <w:t>При подаването на офертата участникът декларира липсата на основанията за отстраняване чрез представянето на Единен европейски документ за обществени поръчки (</w:t>
            </w:r>
            <w:proofErr w:type="spellStart"/>
            <w:r w:rsidRPr="00D46F0C">
              <w:t>еЕЕДОП</w:t>
            </w:r>
            <w:proofErr w:type="spellEnd"/>
            <w:r w:rsidRPr="00D46F0C">
              <w:t>) – Част III„Основания за изключване“. Декларирането на специфични национални основания за отстраняване се извършва чрез попълване на Раздел Г: „Специфични национални основания за изключване“. Гаранцията за изпълнение на договора е в размер на 5% (пет процента) от стойността на договора без включен ДДС. 2. Гаранциите се предоставят: 2.1. парична сума; 2.</w:t>
            </w:r>
            <w:proofErr w:type="spellStart"/>
            <w:r w:rsidRPr="00D46F0C">
              <w:t>2</w:t>
            </w:r>
            <w:proofErr w:type="spellEnd"/>
            <w:r w:rsidRPr="00D46F0C">
              <w:t xml:space="preserve">. банкова гаранция; 2.3. застраховка, която обезпечава изпълнението чрез покритие на отговорността на изпълнителя. 3. 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 4. Участникът, определен за изпълнител, избира сам формата на гаранцията за изпълнение на договора. 5. Когато избраният изпълнител е обединение, което не е юридическо лице, всеки от </w:t>
            </w:r>
            <w:proofErr w:type="spellStart"/>
            <w:r w:rsidRPr="00D46F0C">
              <w:t>съдружниците</w:t>
            </w:r>
            <w:proofErr w:type="spellEnd"/>
            <w:r w:rsidRPr="00D46F0C">
              <w:t xml:space="preserve"> в него може да е </w:t>
            </w:r>
            <w:proofErr w:type="spellStart"/>
            <w:r w:rsidRPr="00D46F0C">
              <w:t>наредител</w:t>
            </w:r>
            <w:proofErr w:type="spellEnd"/>
            <w:r w:rsidRPr="00D46F0C">
              <w:t xml:space="preserve"> по банковата гаранция, съответно вносител на сумата по гаранцията или титуляр на застраховката. 6. При избор на гаранция за изпълнение – парична сума, Банка ДСК- АД, </w:t>
            </w:r>
            <w:proofErr w:type="spellStart"/>
            <w:r w:rsidRPr="00D46F0C">
              <w:t>клонДимитровград</w:t>
            </w:r>
            <w:proofErr w:type="spellEnd"/>
            <w:r w:rsidRPr="00D46F0C">
              <w:t xml:space="preserve">; Банков код (BIC): STSABGSF;Банкова сметка (IBAN)BG16STSA 93003300701640;Възложителят предвижда гаранция за авансово предоставени </w:t>
            </w:r>
            <w:proofErr w:type="spellStart"/>
            <w:r w:rsidRPr="00D46F0C">
              <w:t>средствав</w:t>
            </w:r>
            <w:proofErr w:type="spellEnd"/>
            <w:r w:rsidRPr="00D46F0C">
              <w:t xml:space="preserve"> размер до 50% (петдесет процента) от стойността</w:t>
            </w:r>
          </w:p>
        </w:tc>
      </w:tr>
    </w:tbl>
    <w:p w:rsidR="00D46F0C" w:rsidRPr="00D46F0C" w:rsidRDefault="00D46F0C" w:rsidP="00D46F0C">
      <w:r w:rsidRPr="00D46F0C">
        <w:rPr>
          <w:b/>
          <w:bCs/>
        </w:rPr>
        <w:t>VI.4) Процедури по обжалване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lastRenderedPageBreak/>
              <w:t>VI.4.1) Орган, който отговаря за процедурите по обжалване</w:t>
            </w:r>
          </w:p>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60" w:type="dxa"/>
              <w:tblCellMar>
                <w:top w:w="15" w:type="dxa"/>
                <w:left w:w="15" w:type="dxa"/>
                <w:bottom w:w="15" w:type="dxa"/>
                <w:right w:w="15" w:type="dxa"/>
              </w:tblCellMar>
              <w:tblLook w:val="04A0" w:firstRow="1" w:lastRow="0" w:firstColumn="1" w:lastColumn="0" w:noHBand="0" w:noVBand="1"/>
            </w:tblPr>
            <w:tblGrid>
              <w:gridCol w:w="4242"/>
              <w:gridCol w:w="6746"/>
              <w:gridCol w:w="7372"/>
            </w:tblGrid>
            <w:tr w:rsidR="00D46F0C" w:rsidRPr="00D46F0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Официално наименование: Комисия за защита на конкуренцията</w:t>
                  </w:r>
                </w:p>
              </w:tc>
            </w:tr>
            <w:tr w:rsidR="00D46F0C" w:rsidRPr="00D46F0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Пощенски адрес: бул. Витоша № 18</w:t>
                  </w:r>
                </w:p>
              </w:tc>
            </w:tr>
            <w:tr w:rsidR="00D46F0C" w:rsidRP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Град: София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Пощенски код: 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Държава: България</w:t>
                  </w:r>
                </w:p>
              </w:tc>
            </w:tr>
            <w:tr w:rsidR="00D46F0C" w:rsidRP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Електронна поща: cpcadmin@cpc.bg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Телефон: +359 29884070</w:t>
                  </w:r>
                </w:p>
              </w:tc>
            </w:tr>
            <w:tr w:rsidR="00D46F0C" w:rsidRP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Интернет адрес: </w:t>
                  </w:r>
                  <w:r w:rsidRPr="00D46F0C">
                    <w:rPr>
                      <w:i/>
                      <w:iCs/>
                    </w:rPr>
                    <w:t>(URL)</w:t>
                  </w:r>
                  <w:r w:rsidRPr="00D46F0C">
                    <w:t> </w:t>
                  </w:r>
                  <w:hyperlink r:id="rId11" w:tgtFrame="_blank" w:history="1">
                    <w:r w:rsidRPr="00D46F0C">
                      <w:rPr>
                        <w:rStyle w:val="a3"/>
                      </w:rPr>
                      <w:t>http://www.cpc.bg</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Факс: +359 29807315</w:t>
                  </w:r>
                </w:p>
              </w:tc>
            </w:tr>
          </w:tbl>
          <w:p w:rsidR="00D46F0C" w:rsidRPr="00D46F0C" w:rsidRDefault="00D46F0C" w:rsidP="00D46F0C"/>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VI.4.2) Орган, който отговаря за процедурите по медиация</w:t>
            </w:r>
            <w:r w:rsidRPr="00D46F0C">
              <w:t> </w:t>
            </w:r>
            <w:r w:rsidRPr="00D46F0C">
              <w:rPr>
                <w:vertAlign w:val="superscript"/>
              </w:rPr>
              <w:t>2</w:t>
            </w:r>
          </w:p>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60" w:type="dxa"/>
              <w:tblCellMar>
                <w:top w:w="15" w:type="dxa"/>
                <w:left w:w="15" w:type="dxa"/>
                <w:bottom w:w="15" w:type="dxa"/>
                <w:right w:w="15" w:type="dxa"/>
              </w:tblCellMar>
              <w:tblLook w:val="04A0" w:firstRow="1" w:lastRow="0" w:firstColumn="1" w:lastColumn="0" w:noHBand="0" w:noVBand="1"/>
            </w:tblPr>
            <w:tblGrid>
              <w:gridCol w:w="3660"/>
              <w:gridCol w:w="8802"/>
              <w:gridCol w:w="5898"/>
            </w:tblGrid>
            <w:tr w:rsidR="00D46F0C" w:rsidRPr="00D46F0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Официално наименование:</w:t>
                  </w:r>
                </w:p>
              </w:tc>
            </w:tr>
            <w:tr w:rsidR="00D46F0C" w:rsidRPr="00D46F0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Пощенски адрес:</w:t>
                  </w:r>
                </w:p>
              </w:tc>
            </w:tr>
            <w:tr w:rsidR="00D46F0C" w:rsidRP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Държава:</w:t>
                  </w:r>
                </w:p>
              </w:tc>
            </w:tr>
            <w:tr w:rsidR="00D46F0C" w:rsidRP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Телефон:</w:t>
                  </w:r>
                </w:p>
              </w:tc>
            </w:tr>
            <w:tr w:rsidR="00D46F0C" w:rsidRP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Интернет адрес: </w:t>
                  </w:r>
                  <w:r w:rsidRPr="00D46F0C">
                    <w:rPr>
                      <w:i/>
                      <w:iCs/>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Факс:</w:t>
                  </w:r>
                </w:p>
              </w:tc>
            </w:tr>
          </w:tbl>
          <w:p w:rsidR="00D46F0C" w:rsidRPr="00D46F0C" w:rsidRDefault="00D46F0C" w:rsidP="00D46F0C"/>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VI.4.3) Подаване на жалби</w:t>
            </w:r>
            <w:r w:rsidRPr="00D46F0C">
              <w:br/>
              <w:t>Точна информация относно краен срок/крайни срокове за подаване на жалби:</w:t>
            </w:r>
            <w:r w:rsidRPr="00D46F0C">
              <w:br/>
              <w:t>Съгласно чл.196, ал.1 от ЗОП на обжалване подлежи всяко решение на възложителя по процедурата за възлагане на обществената поръчка. Жалба може да бъде подадена в 10 дневен срок, съгласно разпоредбите на чл. 197 от ЗОП.</w:t>
            </w:r>
          </w:p>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rPr>
                <w:b/>
                <w:bCs/>
              </w:rPr>
              <w:t>VI.4.4) Служба, от която може да бъде получена информация относно подаването на жалби</w:t>
            </w:r>
            <w:r w:rsidRPr="00D46F0C">
              <w:t> </w:t>
            </w:r>
            <w:r w:rsidRPr="00D46F0C">
              <w:rPr>
                <w:vertAlign w:val="superscript"/>
              </w:rPr>
              <w:t>2</w:t>
            </w:r>
          </w:p>
        </w:tc>
      </w:tr>
      <w:tr w:rsidR="00D46F0C" w:rsidRPr="00D46F0C" w:rsidT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60" w:type="dxa"/>
              <w:tblCellMar>
                <w:top w:w="15" w:type="dxa"/>
                <w:left w:w="15" w:type="dxa"/>
                <w:bottom w:w="15" w:type="dxa"/>
                <w:right w:w="15" w:type="dxa"/>
              </w:tblCellMar>
              <w:tblLook w:val="04A0" w:firstRow="1" w:lastRow="0" w:firstColumn="1" w:lastColumn="0" w:noHBand="0" w:noVBand="1"/>
            </w:tblPr>
            <w:tblGrid>
              <w:gridCol w:w="3660"/>
              <w:gridCol w:w="8802"/>
              <w:gridCol w:w="5898"/>
            </w:tblGrid>
            <w:tr w:rsidR="00D46F0C" w:rsidRPr="00D46F0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Официално наименование:</w:t>
                  </w:r>
                </w:p>
              </w:tc>
            </w:tr>
            <w:tr w:rsidR="00D46F0C" w:rsidRPr="00D46F0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Пощенски адрес:</w:t>
                  </w:r>
                </w:p>
              </w:tc>
            </w:tr>
            <w:tr w:rsidR="00D46F0C" w:rsidRPr="00D46F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Държава:</w:t>
                  </w:r>
                </w:p>
              </w:tc>
            </w:tr>
            <w:tr w:rsidR="00D46F0C" w:rsidRP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Телефон:</w:t>
                  </w:r>
                </w:p>
              </w:tc>
            </w:tr>
            <w:tr w:rsidR="00D46F0C" w:rsidRPr="00D46F0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lastRenderedPageBreak/>
                    <w:t>Интернет адрес: </w:t>
                  </w:r>
                  <w:r w:rsidRPr="00D46F0C">
                    <w:rPr>
                      <w:i/>
                      <w:iCs/>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6F0C" w:rsidRPr="00D46F0C" w:rsidRDefault="00D46F0C" w:rsidP="00D46F0C">
                  <w:r w:rsidRPr="00D46F0C">
                    <w:t>Факс:</w:t>
                  </w:r>
                </w:p>
              </w:tc>
            </w:tr>
          </w:tbl>
          <w:p w:rsidR="00D46F0C" w:rsidRPr="00D46F0C" w:rsidRDefault="00D46F0C" w:rsidP="00D46F0C"/>
        </w:tc>
      </w:tr>
    </w:tbl>
    <w:p w:rsidR="00D46F0C" w:rsidRPr="00D46F0C" w:rsidRDefault="00D46F0C" w:rsidP="00D46F0C">
      <w:r w:rsidRPr="00D46F0C">
        <w:rPr>
          <w:b/>
          <w:bCs/>
        </w:rPr>
        <w:lastRenderedPageBreak/>
        <w:t>VI.5) Дата на изпращане на настоящото обявление: </w:t>
      </w:r>
      <w:r w:rsidRPr="00D46F0C">
        <w:t>20/03/2020 </w:t>
      </w:r>
      <w:r w:rsidRPr="00D46F0C">
        <w:rPr>
          <w:i/>
          <w:iCs/>
        </w:rPr>
        <w:t>(</w:t>
      </w:r>
      <w:proofErr w:type="spellStart"/>
      <w:r w:rsidRPr="00D46F0C">
        <w:rPr>
          <w:i/>
          <w:iCs/>
        </w:rPr>
        <w:t>дд</w:t>
      </w:r>
      <w:proofErr w:type="spellEnd"/>
      <w:r w:rsidRPr="00D46F0C">
        <w:rPr>
          <w:i/>
          <w:iCs/>
        </w:rPr>
        <w:t>/мм/</w:t>
      </w:r>
      <w:proofErr w:type="spellStart"/>
      <w:r w:rsidRPr="00D46F0C">
        <w:rPr>
          <w:i/>
          <w:iCs/>
        </w:rPr>
        <w:t>гггг</w:t>
      </w:r>
      <w:proofErr w:type="spellEnd"/>
      <w:r w:rsidRPr="00D46F0C">
        <w:rPr>
          <w:i/>
          <w:iCs/>
        </w:rPr>
        <w:t>)</w:t>
      </w:r>
    </w:p>
    <w:p w:rsidR="00D46F0C" w:rsidRPr="00D46F0C" w:rsidRDefault="00D46F0C" w:rsidP="00D46F0C">
      <w:r w:rsidRPr="00D46F0C">
        <w:rPr>
          <w:i/>
          <w:iCs/>
        </w:rPr>
        <w:t>Възлагащият орган/възложителят носи отговорност за гарантиране на спазване на законодателството на Европейския съюз и на всички приложими закони</w:t>
      </w:r>
    </w:p>
    <w:p w:rsidR="00D46F0C" w:rsidRPr="00D46F0C" w:rsidRDefault="00D46F0C" w:rsidP="00D46F0C">
      <w:r w:rsidRPr="00D46F0C">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
        <w:gridCol w:w="8945"/>
      </w:tblGrid>
      <w:tr w:rsidR="00D46F0C" w:rsidRPr="00D46F0C" w:rsidTr="00D46F0C">
        <w:trPr>
          <w:tblCellSpacing w:w="15" w:type="dxa"/>
        </w:trPr>
        <w:tc>
          <w:tcPr>
            <w:tcW w:w="0" w:type="auto"/>
            <w:vAlign w:val="center"/>
            <w:hideMark/>
          </w:tcPr>
          <w:p w:rsidR="00D46F0C" w:rsidRPr="00D46F0C" w:rsidRDefault="00D46F0C" w:rsidP="00D46F0C">
            <w:r w:rsidRPr="00D46F0C">
              <w:rPr>
                <w:vertAlign w:val="superscript"/>
              </w:rPr>
              <w:t>1</w:t>
            </w:r>
          </w:p>
        </w:tc>
        <w:tc>
          <w:tcPr>
            <w:tcW w:w="0" w:type="auto"/>
            <w:vAlign w:val="center"/>
            <w:hideMark/>
          </w:tcPr>
          <w:p w:rsidR="00D46F0C" w:rsidRPr="00D46F0C" w:rsidRDefault="00D46F0C" w:rsidP="00D46F0C">
            <w:r w:rsidRPr="00D46F0C">
              <w:rPr>
                <w:i/>
                <w:iCs/>
              </w:rPr>
              <w:t>моля, повторете, колкото пъти е необходимо</w:t>
            </w:r>
          </w:p>
        </w:tc>
      </w:tr>
      <w:tr w:rsidR="00D46F0C" w:rsidRPr="00D46F0C" w:rsidTr="00D46F0C">
        <w:trPr>
          <w:tblCellSpacing w:w="15" w:type="dxa"/>
        </w:trPr>
        <w:tc>
          <w:tcPr>
            <w:tcW w:w="0" w:type="auto"/>
            <w:vAlign w:val="center"/>
            <w:hideMark/>
          </w:tcPr>
          <w:p w:rsidR="00D46F0C" w:rsidRPr="00D46F0C" w:rsidRDefault="00D46F0C" w:rsidP="00D46F0C">
            <w:r w:rsidRPr="00D46F0C">
              <w:rPr>
                <w:vertAlign w:val="superscript"/>
              </w:rPr>
              <w:t>2</w:t>
            </w:r>
          </w:p>
        </w:tc>
        <w:tc>
          <w:tcPr>
            <w:tcW w:w="0" w:type="auto"/>
            <w:vAlign w:val="center"/>
            <w:hideMark/>
          </w:tcPr>
          <w:p w:rsidR="00D46F0C" w:rsidRPr="00D46F0C" w:rsidRDefault="00D46F0C" w:rsidP="00D46F0C">
            <w:r w:rsidRPr="00D46F0C">
              <w:rPr>
                <w:i/>
                <w:iCs/>
              </w:rPr>
              <w:t>в приложимите случаи</w:t>
            </w:r>
          </w:p>
        </w:tc>
      </w:tr>
      <w:tr w:rsidR="00D46F0C" w:rsidRPr="00D46F0C" w:rsidTr="00D46F0C">
        <w:trPr>
          <w:tblCellSpacing w:w="15" w:type="dxa"/>
        </w:trPr>
        <w:tc>
          <w:tcPr>
            <w:tcW w:w="0" w:type="auto"/>
            <w:vAlign w:val="center"/>
            <w:hideMark/>
          </w:tcPr>
          <w:p w:rsidR="00D46F0C" w:rsidRPr="00D46F0C" w:rsidRDefault="00D46F0C" w:rsidP="00D46F0C">
            <w:r w:rsidRPr="00D46F0C">
              <w:rPr>
                <w:vertAlign w:val="superscript"/>
              </w:rPr>
              <w:t>3</w:t>
            </w:r>
          </w:p>
        </w:tc>
        <w:tc>
          <w:tcPr>
            <w:tcW w:w="0" w:type="auto"/>
            <w:vAlign w:val="center"/>
            <w:hideMark/>
          </w:tcPr>
          <w:p w:rsidR="00D46F0C" w:rsidRPr="00D46F0C" w:rsidRDefault="00D46F0C" w:rsidP="00D46F0C">
            <w:r w:rsidRPr="00D46F0C">
              <w:rPr>
                <w:i/>
                <w:iCs/>
              </w:rPr>
              <w:t>моля, повторете, колкото пъти е необходимо, ако това обявление е само за предварителна информация</w:t>
            </w:r>
          </w:p>
        </w:tc>
      </w:tr>
      <w:tr w:rsidR="00D46F0C" w:rsidRPr="00D46F0C" w:rsidTr="00D46F0C">
        <w:trPr>
          <w:tblCellSpacing w:w="15" w:type="dxa"/>
        </w:trPr>
        <w:tc>
          <w:tcPr>
            <w:tcW w:w="0" w:type="auto"/>
            <w:vAlign w:val="center"/>
            <w:hideMark/>
          </w:tcPr>
          <w:p w:rsidR="00D46F0C" w:rsidRPr="00D46F0C" w:rsidRDefault="00D46F0C" w:rsidP="00D46F0C">
            <w:r w:rsidRPr="00D46F0C">
              <w:rPr>
                <w:vertAlign w:val="superscript"/>
              </w:rPr>
              <w:t>4</w:t>
            </w:r>
          </w:p>
        </w:tc>
        <w:tc>
          <w:tcPr>
            <w:tcW w:w="0" w:type="auto"/>
            <w:vAlign w:val="center"/>
            <w:hideMark/>
          </w:tcPr>
          <w:p w:rsidR="00D46F0C" w:rsidRPr="00D46F0C" w:rsidRDefault="00D46F0C" w:rsidP="00D46F0C">
            <w:r w:rsidRPr="00D46F0C">
              <w:rPr>
                <w:i/>
                <w:iCs/>
              </w:rPr>
              <w:t>ако тази информация е известна</w:t>
            </w:r>
          </w:p>
        </w:tc>
      </w:tr>
      <w:tr w:rsidR="00D46F0C" w:rsidRPr="00D46F0C" w:rsidTr="00D46F0C">
        <w:trPr>
          <w:tblCellSpacing w:w="15" w:type="dxa"/>
        </w:trPr>
        <w:tc>
          <w:tcPr>
            <w:tcW w:w="0" w:type="auto"/>
            <w:vAlign w:val="center"/>
            <w:hideMark/>
          </w:tcPr>
          <w:p w:rsidR="00D46F0C" w:rsidRPr="00D46F0C" w:rsidRDefault="00D46F0C" w:rsidP="00D46F0C">
            <w:r w:rsidRPr="00D46F0C">
              <w:rPr>
                <w:vertAlign w:val="superscript"/>
              </w:rPr>
              <w:t>5</w:t>
            </w:r>
          </w:p>
        </w:tc>
        <w:tc>
          <w:tcPr>
            <w:tcW w:w="0" w:type="auto"/>
            <w:vAlign w:val="center"/>
            <w:hideMark/>
          </w:tcPr>
          <w:p w:rsidR="00D46F0C" w:rsidRPr="00D46F0C" w:rsidRDefault="00D46F0C" w:rsidP="00D46F0C">
            <w:r w:rsidRPr="00D46F0C">
              <w:rPr>
                <w:i/>
                <w:iCs/>
              </w:rPr>
              <w:t>моля, представете тази информация, ако обявлението е покана за участие в състезателна процедура</w:t>
            </w:r>
          </w:p>
        </w:tc>
      </w:tr>
      <w:tr w:rsidR="00D46F0C" w:rsidRPr="00D46F0C" w:rsidTr="00D46F0C">
        <w:trPr>
          <w:tblCellSpacing w:w="15" w:type="dxa"/>
        </w:trPr>
        <w:tc>
          <w:tcPr>
            <w:tcW w:w="0" w:type="auto"/>
            <w:vAlign w:val="center"/>
            <w:hideMark/>
          </w:tcPr>
          <w:p w:rsidR="00D46F0C" w:rsidRPr="00D46F0C" w:rsidRDefault="00D46F0C" w:rsidP="00D46F0C">
            <w:r w:rsidRPr="00D46F0C">
              <w:rPr>
                <w:vertAlign w:val="superscript"/>
              </w:rPr>
              <w:t>6</w:t>
            </w:r>
          </w:p>
        </w:tc>
        <w:tc>
          <w:tcPr>
            <w:tcW w:w="0" w:type="auto"/>
            <w:vAlign w:val="center"/>
            <w:hideMark/>
          </w:tcPr>
          <w:p w:rsidR="00D46F0C" w:rsidRPr="00D46F0C" w:rsidRDefault="00D46F0C" w:rsidP="00D46F0C">
            <w:r w:rsidRPr="00D46F0C">
              <w:rPr>
                <w:i/>
                <w:iCs/>
              </w:rPr>
              <w:t>доколкото информацията е вече известна</w:t>
            </w:r>
          </w:p>
        </w:tc>
      </w:tr>
      <w:tr w:rsidR="00D46F0C" w:rsidRPr="00D46F0C" w:rsidTr="00D46F0C">
        <w:trPr>
          <w:tblCellSpacing w:w="15" w:type="dxa"/>
        </w:trPr>
        <w:tc>
          <w:tcPr>
            <w:tcW w:w="0" w:type="auto"/>
            <w:vAlign w:val="center"/>
            <w:hideMark/>
          </w:tcPr>
          <w:p w:rsidR="00D46F0C" w:rsidRPr="00D46F0C" w:rsidRDefault="00D46F0C" w:rsidP="00D46F0C">
            <w:r w:rsidRPr="00D46F0C">
              <w:rPr>
                <w:vertAlign w:val="superscript"/>
              </w:rPr>
              <w:t>7</w:t>
            </w:r>
          </w:p>
        </w:tc>
        <w:tc>
          <w:tcPr>
            <w:tcW w:w="0" w:type="auto"/>
            <w:vAlign w:val="center"/>
            <w:hideMark/>
          </w:tcPr>
          <w:p w:rsidR="00D46F0C" w:rsidRPr="00D46F0C" w:rsidRDefault="00D46F0C" w:rsidP="00D46F0C">
            <w:r w:rsidRPr="00D46F0C">
              <w:rPr>
                <w:i/>
                <w:iCs/>
              </w:rPr>
              <w:t>задължителна информация, която не се публикува</w:t>
            </w:r>
          </w:p>
        </w:tc>
      </w:tr>
      <w:tr w:rsidR="00D46F0C" w:rsidRPr="00D46F0C" w:rsidTr="00D46F0C">
        <w:trPr>
          <w:tblCellSpacing w:w="15" w:type="dxa"/>
        </w:trPr>
        <w:tc>
          <w:tcPr>
            <w:tcW w:w="0" w:type="auto"/>
            <w:vAlign w:val="center"/>
            <w:hideMark/>
          </w:tcPr>
          <w:p w:rsidR="00D46F0C" w:rsidRPr="00D46F0C" w:rsidRDefault="00D46F0C" w:rsidP="00D46F0C">
            <w:r w:rsidRPr="00D46F0C">
              <w:rPr>
                <w:vertAlign w:val="superscript"/>
              </w:rPr>
              <w:t>8</w:t>
            </w:r>
          </w:p>
        </w:tc>
        <w:tc>
          <w:tcPr>
            <w:tcW w:w="0" w:type="auto"/>
            <w:vAlign w:val="center"/>
            <w:hideMark/>
          </w:tcPr>
          <w:p w:rsidR="00D46F0C" w:rsidRPr="00D46F0C" w:rsidRDefault="00D46F0C" w:rsidP="00D46F0C">
            <w:r w:rsidRPr="00D46F0C">
              <w:rPr>
                <w:i/>
                <w:iCs/>
              </w:rPr>
              <w:t>информация по избор</w:t>
            </w:r>
          </w:p>
        </w:tc>
      </w:tr>
      <w:tr w:rsidR="00D46F0C" w:rsidRPr="00D46F0C" w:rsidTr="00D46F0C">
        <w:trPr>
          <w:tblCellSpacing w:w="15" w:type="dxa"/>
        </w:trPr>
        <w:tc>
          <w:tcPr>
            <w:tcW w:w="0" w:type="auto"/>
            <w:vAlign w:val="center"/>
            <w:hideMark/>
          </w:tcPr>
          <w:p w:rsidR="00D46F0C" w:rsidRPr="00D46F0C" w:rsidRDefault="00D46F0C" w:rsidP="00D46F0C">
            <w:r w:rsidRPr="00D46F0C">
              <w:rPr>
                <w:vertAlign w:val="superscript"/>
              </w:rPr>
              <w:t>9</w:t>
            </w:r>
          </w:p>
        </w:tc>
        <w:tc>
          <w:tcPr>
            <w:tcW w:w="0" w:type="auto"/>
            <w:vAlign w:val="center"/>
            <w:hideMark/>
          </w:tcPr>
          <w:p w:rsidR="00D46F0C" w:rsidRPr="00D46F0C" w:rsidRDefault="00D46F0C" w:rsidP="00D46F0C">
            <w:r w:rsidRPr="00D46F0C">
              <w:rPr>
                <w:i/>
                <w:iCs/>
              </w:rPr>
              <w:t>моля, представете тази информация само ако обявлението е за предварителна информация</w:t>
            </w:r>
          </w:p>
        </w:tc>
      </w:tr>
      <w:tr w:rsidR="00D46F0C" w:rsidRPr="00D46F0C" w:rsidTr="00D46F0C">
        <w:trPr>
          <w:tblCellSpacing w:w="15" w:type="dxa"/>
        </w:trPr>
        <w:tc>
          <w:tcPr>
            <w:tcW w:w="0" w:type="auto"/>
            <w:vAlign w:val="center"/>
            <w:hideMark/>
          </w:tcPr>
          <w:p w:rsidR="00D46F0C" w:rsidRPr="00D46F0C" w:rsidRDefault="00D46F0C" w:rsidP="00D46F0C">
            <w:r w:rsidRPr="00D46F0C">
              <w:rPr>
                <w:vertAlign w:val="superscript"/>
              </w:rPr>
              <w:t>10</w:t>
            </w:r>
          </w:p>
        </w:tc>
        <w:tc>
          <w:tcPr>
            <w:tcW w:w="0" w:type="auto"/>
            <w:vAlign w:val="center"/>
            <w:hideMark/>
          </w:tcPr>
          <w:p w:rsidR="00D46F0C" w:rsidRPr="00D46F0C" w:rsidRDefault="00D46F0C" w:rsidP="00D46F0C">
            <w:r w:rsidRPr="00D46F0C">
              <w:rPr>
                <w:i/>
                <w:iCs/>
              </w:rPr>
              <w:t>моля, представете тази информация само ако обявлението е обявление за възлагане</w:t>
            </w:r>
          </w:p>
        </w:tc>
      </w:tr>
      <w:tr w:rsidR="00D46F0C" w:rsidRPr="00D46F0C" w:rsidTr="00D46F0C">
        <w:trPr>
          <w:tblCellSpacing w:w="15" w:type="dxa"/>
        </w:trPr>
        <w:tc>
          <w:tcPr>
            <w:tcW w:w="0" w:type="auto"/>
            <w:vAlign w:val="center"/>
            <w:hideMark/>
          </w:tcPr>
          <w:p w:rsidR="00D46F0C" w:rsidRPr="00D46F0C" w:rsidRDefault="00D46F0C" w:rsidP="00D46F0C">
            <w:r w:rsidRPr="00D46F0C">
              <w:rPr>
                <w:vertAlign w:val="superscript"/>
              </w:rPr>
              <w:t>11</w:t>
            </w:r>
          </w:p>
        </w:tc>
        <w:tc>
          <w:tcPr>
            <w:tcW w:w="0" w:type="auto"/>
            <w:vAlign w:val="center"/>
            <w:hideMark/>
          </w:tcPr>
          <w:p w:rsidR="00D46F0C" w:rsidRPr="00D46F0C" w:rsidRDefault="00D46F0C" w:rsidP="00D46F0C">
            <w:r w:rsidRPr="00D46F0C">
              <w:rPr>
                <w:i/>
                <w:iCs/>
              </w:rPr>
              <w:t>само ако обявлението се отнася до квалификационна система</w:t>
            </w:r>
          </w:p>
        </w:tc>
      </w:tr>
      <w:tr w:rsidR="00D46F0C" w:rsidRPr="00D46F0C" w:rsidTr="00D46F0C">
        <w:trPr>
          <w:tblCellSpacing w:w="15" w:type="dxa"/>
        </w:trPr>
        <w:tc>
          <w:tcPr>
            <w:tcW w:w="0" w:type="auto"/>
            <w:vAlign w:val="center"/>
            <w:hideMark/>
          </w:tcPr>
          <w:p w:rsidR="00D46F0C" w:rsidRPr="00D46F0C" w:rsidRDefault="00D46F0C" w:rsidP="00D46F0C">
            <w:r w:rsidRPr="00D46F0C">
              <w:rPr>
                <w:vertAlign w:val="superscript"/>
              </w:rPr>
              <w:t>12</w:t>
            </w:r>
          </w:p>
        </w:tc>
        <w:tc>
          <w:tcPr>
            <w:tcW w:w="0" w:type="auto"/>
            <w:vAlign w:val="center"/>
            <w:hideMark/>
          </w:tcPr>
          <w:p w:rsidR="00D46F0C" w:rsidRPr="00D46F0C" w:rsidRDefault="00D46F0C" w:rsidP="00D46F0C">
            <w:r w:rsidRPr="00D46F0C">
              <w:rPr>
                <w:i/>
                <w:iCs/>
              </w:rPr>
              <w:t>моля, представете тази информация тук или в поканата за потвърждаване на интерес, ако обявлението е покана за участие в състезателна процедура или има за цел намаляване на срока за получаване на оферти</w:t>
            </w:r>
          </w:p>
        </w:tc>
      </w:tr>
      <w:tr w:rsidR="00D46F0C" w:rsidRPr="00D46F0C" w:rsidTr="00D46F0C">
        <w:trPr>
          <w:tblCellSpacing w:w="15" w:type="dxa"/>
        </w:trPr>
        <w:tc>
          <w:tcPr>
            <w:tcW w:w="0" w:type="auto"/>
            <w:vAlign w:val="center"/>
            <w:hideMark/>
          </w:tcPr>
          <w:p w:rsidR="00D46F0C" w:rsidRPr="00D46F0C" w:rsidRDefault="00D46F0C" w:rsidP="00D46F0C">
            <w:r w:rsidRPr="00D46F0C">
              <w:rPr>
                <w:vertAlign w:val="superscript"/>
              </w:rPr>
              <w:t>13</w:t>
            </w:r>
          </w:p>
        </w:tc>
        <w:tc>
          <w:tcPr>
            <w:tcW w:w="0" w:type="auto"/>
            <w:vAlign w:val="center"/>
            <w:hideMark/>
          </w:tcPr>
          <w:p w:rsidR="00D46F0C" w:rsidRPr="00D46F0C" w:rsidRDefault="00D46F0C" w:rsidP="00D46F0C">
            <w:r w:rsidRPr="00D46F0C">
              <w:rPr>
                <w:i/>
                <w:iCs/>
              </w:rPr>
              <w:t>моля, представете тази информация тук или в поканата за потвърждаване на оферти или за договаряне, ако обявлението е покана за участие в състезателна процедура</w:t>
            </w:r>
          </w:p>
        </w:tc>
      </w:tr>
      <w:tr w:rsidR="00D46F0C" w:rsidRPr="00D46F0C" w:rsidTr="00D46F0C">
        <w:trPr>
          <w:tblCellSpacing w:w="15" w:type="dxa"/>
        </w:trPr>
        <w:tc>
          <w:tcPr>
            <w:tcW w:w="0" w:type="auto"/>
            <w:vAlign w:val="center"/>
            <w:hideMark/>
          </w:tcPr>
          <w:p w:rsidR="00D46F0C" w:rsidRPr="00D46F0C" w:rsidRDefault="00D46F0C" w:rsidP="00D46F0C">
            <w:r w:rsidRPr="00D46F0C">
              <w:rPr>
                <w:vertAlign w:val="superscript"/>
              </w:rPr>
              <w:t>14</w:t>
            </w:r>
          </w:p>
        </w:tc>
        <w:tc>
          <w:tcPr>
            <w:tcW w:w="0" w:type="auto"/>
            <w:vAlign w:val="center"/>
            <w:hideMark/>
          </w:tcPr>
          <w:p w:rsidR="00D46F0C" w:rsidRPr="00D46F0C" w:rsidRDefault="00D46F0C" w:rsidP="00D46F0C">
            <w:r w:rsidRPr="00D46F0C">
              <w:rPr>
                <w:i/>
                <w:iCs/>
              </w:rPr>
              <w:t xml:space="preserve">ако това е за предварителна информация, използвано като покана за </w:t>
            </w:r>
            <w:proofErr w:type="spellStart"/>
            <w:r w:rsidRPr="00D46F0C">
              <w:rPr>
                <w:i/>
                <w:iCs/>
              </w:rPr>
              <w:t>участите</w:t>
            </w:r>
            <w:proofErr w:type="spellEnd"/>
            <w:r w:rsidRPr="00D46F0C">
              <w:rPr>
                <w:i/>
                <w:iCs/>
              </w:rPr>
              <w:t xml:space="preserve"> в състезателна процедура - моля, представете тази информация, ако тя вече е известна</w:t>
            </w:r>
          </w:p>
        </w:tc>
      </w:tr>
      <w:tr w:rsidR="00D46F0C" w:rsidRPr="00D46F0C" w:rsidTr="00D46F0C">
        <w:trPr>
          <w:tblCellSpacing w:w="15" w:type="dxa"/>
        </w:trPr>
        <w:tc>
          <w:tcPr>
            <w:tcW w:w="0" w:type="auto"/>
            <w:vAlign w:val="center"/>
            <w:hideMark/>
          </w:tcPr>
          <w:p w:rsidR="00D46F0C" w:rsidRPr="00D46F0C" w:rsidRDefault="00D46F0C" w:rsidP="00D46F0C">
            <w:r w:rsidRPr="00D46F0C">
              <w:rPr>
                <w:vertAlign w:val="superscript"/>
              </w:rPr>
              <w:t>15</w:t>
            </w:r>
          </w:p>
        </w:tc>
        <w:tc>
          <w:tcPr>
            <w:tcW w:w="0" w:type="auto"/>
            <w:vAlign w:val="center"/>
            <w:hideMark/>
          </w:tcPr>
          <w:p w:rsidR="00D46F0C" w:rsidRPr="00D46F0C" w:rsidRDefault="00D46F0C" w:rsidP="00D46F0C">
            <w:r w:rsidRPr="00D46F0C">
              <w:rPr>
                <w:i/>
                <w:iCs/>
              </w:rPr>
              <w:t>моля, представете тази информация тук или, ако е приложимо, в поканата за подаване на оферти</w:t>
            </w:r>
          </w:p>
        </w:tc>
      </w:tr>
      <w:tr w:rsidR="00D46F0C" w:rsidRPr="00D46F0C" w:rsidTr="00D46F0C">
        <w:trPr>
          <w:tblCellSpacing w:w="15" w:type="dxa"/>
        </w:trPr>
        <w:tc>
          <w:tcPr>
            <w:tcW w:w="0" w:type="auto"/>
            <w:vAlign w:val="center"/>
            <w:hideMark/>
          </w:tcPr>
          <w:p w:rsidR="00D46F0C" w:rsidRPr="00D46F0C" w:rsidRDefault="00D46F0C" w:rsidP="00D46F0C">
            <w:r w:rsidRPr="00D46F0C">
              <w:rPr>
                <w:vertAlign w:val="superscript"/>
              </w:rPr>
              <w:lastRenderedPageBreak/>
              <w:t>16</w:t>
            </w:r>
          </w:p>
        </w:tc>
        <w:tc>
          <w:tcPr>
            <w:tcW w:w="0" w:type="auto"/>
            <w:vAlign w:val="center"/>
            <w:hideMark/>
          </w:tcPr>
          <w:p w:rsidR="00D46F0C" w:rsidRPr="00D46F0C" w:rsidRDefault="00D46F0C" w:rsidP="00D46F0C"/>
        </w:tc>
      </w:tr>
      <w:tr w:rsidR="00D46F0C" w:rsidRPr="00D46F0C" w:rsidTr="00D46F0C">
        <w:trPr>
          <w:tblCellSpacing w:w="15" w:type="dxa"/>
        </w:trPr>
        <w:tc>
          <w:tcPr>
            <w:tcW w:w="0" w:type="auto"/>
            <w:vAlign w:val="center"/>
            <w:hideMark/>
          </w:tcPr>
          <w:p w:rsidR="00D46F0C" w:rsidRPr="00D46F0C" w:rsidRDefault="00D46F0C" w:rsidP="00D46F0C">
            <w:r w:rsidRPr="00D46F0C">
              <w:rPr>
                <w:vertAlign w:val="superscript"/>
              </w:rPr>
              <w:t>17</w:t>
            </w:r>
          </w:p>
        </w:tc>
        <w:tc>
          <w:tcPr>
            <w:tcW w:w="0" w:type="auto"/>
            <w:vAlign w:val="center"/>
            <w:hideMark/>
          </w:tcPr>
          <w:p w:rsidR="00D46F0C" w:rsidRPr="00D46F0C" w:rsidRDefault="00D46F0C" w:rsidP="00D46F0C">
            <w:r w:rsidRPr="00D46F0C">
              <w:rPr>
                <w:i/>
                <w:iCs/>
              </w:rPr>
              <w:t>задължителна информация, ако това е обявление за възлагане</w:t>
            </w:r>
          </w:p>
        </w:tc>
      </w:tr>
      <w:tr w:rsidR="00D46F0C" w:rsidRPr="00D46F0C" w:rsidTr="00D46F0C">
        <w:trPr>
          <w:tblCellSpacing w:w="15" w:type="dxa"/>
        </w:trPr>
        <w:tc>
          <w:tcPr>
            <w:tcW w:w="0" w:type="auto"/>
            <w:vAlign w:val="center"/>
            <w:hideMark/>
          </w:tcPr>
          <w:p w:rsidR="00D46F0C" w:rsidRPr="00D46F0C" w:rsidRDefault="00D46F0C" w:rsidP="00D46F0C">
            <w:r w:rsidRPr="00D46F0C">
              <w:rPr>
                <w:vertAlign w:val="superscript"/>
              </w:rPr>
              <w:t>18</w:t>
            </w:r>
          </w:p>
        </w:tc>
        <w:tc>
          <w:tcPr>
            <w:tcW w:w="0" w:type="auto"/>
            <w:vAlign w:val="center"/>
            <w:hideMark/>
          </w:tcPr>
          <w:p w:rsidR="00D46F0C" w:rsidRPr="00D46F0C" w:rsidRDefault="00D46F0C" w:rsidP="00D46F0C">
            <w:r w:rsidRPr="00D46F0C">
              <w:rPr>
                <w:i/>
                <w:iCs/>
              </w:rPr>
              <w:t>само ако обявлението не се отнася до квалификационна система</w:t>
            </w:r>
          </w:p>
        </w:tc>
      </w:tr>
      <w:tr w:rsidR="00D46F0C" w:rsidRPr="00D46F0C" w:rsidTr="00D46F0C">
        <w:trPr>
          <w:tblCellSpacing w:w="15" w:type="dxa"/>
        </w:trPr>
        <w:tc>
          <w:tcPr>
            <w:tcW w:w="0" w:type="auto"/>
            <w:vAlign w:val="center"/>
            <w:hideMark/>
          </w:tcPr>
          <w:p w:rsidR="00D46F0C" w:rsidRPr="00D46F0C" w:rsidRDefault="00D46F0C" w:rsidP="00D46F0C">
            <w:r w:rsidRPr="00D46F0C">
              <w:rPr>
                <w:vertAlign w:val="superscript"/>
              </w:rPr>
              <w:t>19</w:t>
            </w:r>
          </w:p>
        </w:tc>
        <w:tc>
          <w:tcPr>
            <w:tcW w:w="0" w:type="auto"/>
            <w:vAlign w:val="center"/>
            <w:hideMark/>
          </w:tcPr>
          <w:p w:rsidR="00D46F0C" w:rsidRPr="00D46F0C" w:rsidRDefault="00D46F0C" w:rsidP="00D46F0C">
            <w:r w:rsidRPr="00D46F0C">
              <w:rPr>
                <w:i/>
                <w:iCs/>
              </w:rPr>
              <w:t>ако обявлението има за цел намаляване на срока за получаване на оферти</w:t>
            </w:r>
          </w:p>
        </w:tc>
      </w:tr>
      <w:tr w:rsidR="00D46F0C" w:rsidRPr="00D46F0C" w:rsidTr="00D46F0C">
        <w:trPr>
          <w:tblCellSpacing w:w="15" w:type="dxa"/>
        </w:trPr>
        <w:tc>
          <w:tcPr>
            <w:tcW w:w="0" w:type="auto"/>
            <w:vAlign w:val="center"/>
            <w:hideMark/>
          </w:tcPr>
          <w:p w:rsidR="00D46F0C" w:rsidRPr="00D46F0C" w:rsidRDefault="00D46F0C" w:rsidP="00D46F0C">
            <w:r w:rsidRPr="00D46F0C">
              <w:rPr>
                <w:vertAlign w:val="superscript"/>
              </w:rPr>
              <w:t>20</w:t>
            </w:r>
          </w:p>
        </w:tc>
        <w:tc>
          <w:tcPr>
            <w:tcW w:w="0" w:type="auto"/>
            <w:vAlign w:val="center"/>
            <w:hideMark/>
          </w:tcPr>
          <w:p w:rsidR="00D46F0C" w:rsidRPr="00D46F0C" w:rsidRDefault="00D46F0C" w:rsidP="00D46F0C">
            <w:r w:rsidRPr="00D46F0C">
              <w:rPr>
                <w:i/>
                <w:iCs/>
              </w:rPr>
              <w:t>може да бъде присъдена значимост вместо тежест</w:t>
            </w:r>
          </w:p>
        </w:tc>
      </w:tr>
      <w:tr w:rsidR="00D46F0C" w:rsidRPr="00D46F0C" w:rsidTr="00D46F0C">
        <w:trPr>
          <w:tblCellSpacing w:w="15" w:type="dxa"/>
        </w:trPr>
        <w:tc>
          <w:tcPr>
            <w:tcW w:w="0" w:type="auto"/>
            <w:vAlign w:val="center"/>
            <w:hideMark/>
          </w:tcPr>
          <w:p w:rsidR="00D46F0C" w:rsidRPr="00D46F0C" w:rsidRDefault="00D46F0C" w:rsidP="00D46F0C">
            <w:r w:rsidRPr="00D46F0C">
              <w:rPr>
                <w:vertAlign w:val="superscript"/>
              </w:rPr>
              <w:t>21</w:t>
            </w:r>
          </w:p>
        </w:tc>
        <w:tc>
          <w:tcPr>
            <w:tcW w:w="0" w:type="auto"/>
            <w:vAlign w:val="center"/>
            <w:hideMark/>
          </w:tcPr>
          <w:p w:rsidR="00D46F0C" w:rsidRPr="00D46F0C" w:rsidRDefault="00D46F0C" w:rsidP="00D46F0C">
            <w:r w:rsidRPr="00D46F0C">
              <w:rPr>
                <w:i/>
                <w:iCs/>
              </w:rPr>
              <w:t>може да бъде присъдена значимост вместо тежест; ако цената е единственият критерий за възлагане, тежестта не се използва</w:t>
            </w:r>
          </w:p>
        </w:tc>
      </w:tr>
    </w:tbl>
    <w:p w:rsidR="00332FEB" w:rsidRDefault="00332FEB">
      <w:bookmarkStart w:id="0" w:name="_GoBack"/>
      <w:bookmarkEnd w:id="0"/>
    </w:p>
    <w:sectPr w:rsidR="00332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8B"/>
    <w:rsid w:val="00332FEB"/>
    <w:rsid w:val="005A088B"/>
    <w:rsid w:val="00D46F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6F0C"/>
    <w:rPr>
      <w:color w:val="0000FF" w:themeColor="hyperlink"/>
      <w:u w:val="single"/>
    </w:rPr>
  </w:style>
  <w:style w:type="paragraph" w:styleId="a4">
    <w:name w:val="Balloon Text"/>
    <w:basedOn w:val="a"/>
    <w:link w:val="a5"/>
    <w:uiPriority w:val="99"/>
    <w:semiHidden/>
    <w:unhideWhenUsed/>
    <w:rsid w:val="00D46F0C"/>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46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6F0C"/>
    <w:rPr>
      <w:color w:val="0000FF" w:themeColor="hyperlink"/>
      <w:u w:val="single"/>
    </w:rPr>
  </w:style>
  <w:style w:type="paragraph" w:styleId="a4">
    <w:name w:val="Balloon Text"/>
    <w:basedOn w:val="a"/>
    <w:link w:val="a5"/>
    <w:uiPriority w:val="99"/>
    <w:semiHidden/>
    <w:unhideWhenUsed/>
    <w:rsid w:val="00D46F0C"/>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46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00503">
      <w:bodyDiv w:val="1"/>
      <w:marLeft w:val="0"/>
      <w:marRight w:val="0"/>
      <w:marTop w:val="0"/>
      <w:marBottom w:val="0"/>
      <w:divBdr>
        <w:top w:val="none" w:sz="0" w:space="0" w:color="auto"/>
        <w:left w:val="none" w:sz="0" w:space="0" w:color="auto"/>
        <w:bottom w:val="none" w:sz="0" w:space="0" w:color="auto"/>
        <w:right w:val="none" w:sz="0" w:space="0" w:color="auto"/>
      </w:divBdr>
      <w:divsChild>
        <w:div w:id="1697804245">
          <w:marLeft w:val="0"/>
          <w:marRight w:val="0"/>
          <w:marTop w:val="0"/>
          <w:marBottom w:val="0"/>
          <w:divBdr>
            <w:top w:val="none" w:sz="0" w:space="0" w:color="auto"/>
            <w:left w:val="none" w:sz="0" w:space="0" w:color="auto"/>
            <w:bottom w:val="none" w:sz="0" w:space="0" w:color="auto"/>
            <w:right w:val="none" w:sz="0" w:space="0" w:color="auto"/>
          </w:divBdr>
          <w:divsChild>
            <w:div w:id="1473131976">
              <w:marLeft w:val="0"/>
              <w:marRight w:val="0"/>
              <w:marTop w:val="0"/>
              <w:marBottom w:val="0"/>
              <w:divBdr>
                <w:top w:val="none" w:sz="0" w:space="0" w:color="auto"/>
                <w:left w:val="none" w:sz="0" w:space="0" w:color="auto"/>
                <w:bottom w:val="none" w:sz="0" w:space="0" w:color="auto"/>
                <w:right w:val="none" w:sz="0" w:space="0" w:color="auto"/>
              </w:divBdr>
            </w:div>
            <w:div w:id="1891651732">
              <w:marLeft w:val="0"/>
              <w:marRight w:val="0"/>
              <w:marTop w:val="0"/>
              <w:marBottom w:val="0"/>
              <w:divBdr>
                <w:top w:val="none" w:sz="0" w:space="0" w:color="auto"/>
                <w:left w:val="none" w:sz="0" w:space="0" w:color="auto"/>
                <w:bottom w:val="none" w:sz="0" w:space="0" w:color="auto"/>
                <w:right w:val="none" w:sz="0" w:space="0" w:color="auto"/>
              </w:divBdr>
            </w:div>
          </w:divsChild>
        </w:div>
        <w:div w:id="577054446">
          <w:marLeft w:val="0"/>
          <w:marRight w:val="0"/>
          <w:marTop w:val="0"/>
          <w:marBottom w:val="0"/>
          <w:divBdr>
            <w:top w:val="none" w:sz="0" w:space="0" w:color="auto"/>
            <w:left w:val="none" w:sz="0" w:space="0" w:color="auto"/>
            <w:bottom w:val="none" w:sz="0" w:space="0" w:color="auto"/>
            <w:right w:val="none" w:sz="0" w:space="0" w:color="auto"/>
          </w:divBdr>
        </w:div>
        <w:div w:id="2088843625">
          <w:marLeft w:val="0"/>
          <w:marRight w:val="0"/>
          <w:marTop w:val="0"/>
          <w:marBottom w:val="0"/>
          <w:divBdr>
            <w:top w:val="none" w:sz="0" w:space="0" w:color="auto"/>
            <w:left w:val="none" w:sz="0" w:space="0" w:color="auto"/>
            <w:bottom w:val="none" w:sz="0" w:space="0" w:color="auto"/>
            <w:right w:val="none" w:sz="0" w:space="0" w:color="auto"/>
          </w:divBdr>
        </w:div>
        <w:div w:id="289483790">
          <w:marLeft w:val="0"/>
          <w:marRight w:val="0"/>
          <w:marTop w:val="0"/>
          <w:marBottom w:val="150"/>
          <w:divBdr>
            <w:top w:val="none" w:sz="0" w:space="0" w:color="auto"/>
            <w:left w:val="none" w:sz="0" w:space="0" w:color="auto"/>
            <w:bottom w:val="none" w:sz="0" w:space="0" w:color="auto"/>
            <w:right w:val="none" w:sz="0" w:space="0" w:color="auto"/>
          </w:divBdr>
          <w:divsChild>
            <w:div w:id="17045281">
              <w:marLeft w:val="0"/>
              <w:marRight w:val="0"/>
              <w:marTop w:val="0"/>
              <w:marBottom w:val="0"/>
              <w:divBdr>
                <w:top w:val="none" w:sz="0" w:space="0" w:color="auto"/>
                <w:left w:val="none" w:sz="0" w:space="0" w:color="auto"/>
                <w:bottom w:val="none" w:sz="0" w:space="0" w:color="auto"/>
                <w:right w:val="none" w:sz="0" w:space="0" w:color="auto"/>
              </w:divBdr>
            </w:div>
            <w:div w:id="1116631684">
              <w:marLeft w:val="0"/>
              <w:marRight w:val="0"/>
              <w:marTop w:val="0"/>
              <w:marBottom w:val="0"/>
              <w:divBdr>
                <w:top w:val="none" w:sz="0" w:space="0" w:color="auto"/>
                <w:left w:val="none" w:sz="0" w:space="0" w:color="auto"/>
                <w:bottom w:val="none" w:sz="0" w:space="0" w:color="auto"/>
                <w:right w:val="none" w:sz="0" w:space="0" w:color="auto"/>
              </w:divBdr>
            </w:div>
            <w:div w:id="1106581321">
              <w:marLeft w:val="0"/>
              <w:marRight w:val="0"/>
              <w:marTop w:val="0"/>
              <w:marBottom w:val="0"/>
              <w:divBdr>
                <w:top w:val="none" w:sz="0" w:space="0" w:color="auto"/>
                <w:left w:val="none" w:sz="0" w:space="0" w:color="auto"/>
                <w:bottom w:val="none" w:sz="0" w:space="0" w:color="auto"/>
                <w:right w:val="none" w:sz="0" w:space="0" w:color="auto"/>
              </w:divBdr>
            </w:div>
            <w:div w:id="987633356">
              <w:marLeft w:val="0"/>
              <w:marRight w:val="0"/>
              <w:marTop w:val="0"/>
              <w:marBottom w:val="0"/>
              <w:divBdr>
                <w:top w:val="none" w:sz="0" w:space="0" w:color="auto"/>
                <w:left w:val="none" w:sz="0" w:space="0" w:color="auto"/>
                <w:bottom w:val="none" w:sz="0" w:space="0" w:color="auto"/>
                <w:right w:val="none" w:sz="0" w:space="0" w:color="auto"/>
              </w:divBdr>
            </w:div>
          </w:divsChild>
        </w:div>
        <w:div w:id="485827842">
          <w:marLeft w:val="0"/>
          <w:marRight w:val="0"/>
          <w:marTop w:val="0"/>
          <w:marBottom w:val="0"/>
          <w:divBdr>
            <w:top w:val="none" w:sz="0" w:space="0" w:color="auto"/>
            <w:left w:val="none" w:sz="0" w:space="0" w:color="auto"/>
            <w:bottom w:val="none" w:sz="0" w:space="0" w:color="auto"/>
            <w:right w:val="none" w:sz="0" w:space="0" w:color="auto"/>
          </w:divBdr>
        </w:div>
        <w:div w:id="1320692630">
          <w:marLeft w:val="0"/>
          <w:marRight w:val="0"/>
          <w:marTop w:val="0"/>
          <w:marBottom w:val="0"/>
          <w:divBdr>
            <w:top w:val="none" w:sz="0" w:space="0" w:color="auto"/>
            <w:left w:val="none" w:sz="0" w:space="0" w:color="auto"/>
            <w:bottom w:val="none" w:sz="0" w:space="0" w:color="auto"/>
            <w:right w:val="none" w:sz="0" w:space="0" w:color="auto"/>
          </w:divBdr>
        </w:div>
        <w:div w:id="755054247">
          <w:marLeft w:val="0"/>
          <w:marRight w:val="0"/>
          <w:marTop w:val="0"/>
          <w:marBottom w:val="150"/>
          <w:divBdr>
            <w:top w:val="single" w:sz="12" w:space="4" w:color="000000"/>
            <w:left w:val="single" w:sz="12" w:space="4" w:color="000000"/>
            <w:bottom w:val="single" w:sz="12" w:space="4" w:color="000000"/>
            <w:right w:val="single" w:sz="12" w:space="4" w:color="000000"/>
          </w:divBdr>
          <w:divsChild>
            <w:div w:id="940724323">
              <w:marLeft w:val="0"/>
              <w:marRight w:val="0"/>
              <w:marTop w:val="0"/>
              <w:marBottom w:val="0"/>
              <w:divBdr>
                <w:top w:val="none" w:sz="0" w:space="0" w:color="auto"/>
                <w:left w:val="none" w:sz="0" w:space="0" w:color="auto"/>
                <w:bottom w:val="none" w:sz="0" w:space="0" w:color="auto"/>
                <w:right w:val="none" w:sz="0" w:space="0" w:color="auto"/>
              </w:divBdr>
            </w:div>
            <w:div w:id="1311059402">
              <w:marLeft w:val="0"/>
              <w:marRight w:val="0"/>
              <w:marTop w:val="0"/>
              <w:marBottom w:val="0"/>
              <w:divBdr>
                <w:top w:val="none" w:sz="0" w:space="0" w:color="auto"/>
                <w:left w:val="none" w:sz="0" w:space="0" w:color="auto"/>
                <w:bottom w:val="none" w:sz="0" w:space="0" w:color="auto"/>
                <w:right w:val="none" w:sz="0" w:space="0" w:color="auto"/>
              </w:divBdr>
              <w:divsChild>
                <w:div w:id="15381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08884">
          <w:marLeft w:val="0"/>
          <w:marRight w:val="0"/>
          <w:marTop w:val="0"/>
          <w:marBottom w:val="0"/>
          <w:divBdr>
            <w:top w:val="none" w:sz="0" w:space="0" w:color="auto"/>
            <w:left w:val="none" w:sz="0" w:space="0" w:color="auto"/>
            <w:bottom w:val="none" w:sz="0" w:space="0" w:color="auto"/>
            <w:right w:val="none" w:sz="0" w:space="0" w:color="auto"/>
          </w:divBdr>
          <w:divsChild>
            <w:div w:id="488254982">
              <w:marLeft w:val="0"/>
              <w:marRight w:val="0"/>
              <w:marTop w:val="0"/>
              <w:marBottom w:val="150"/>
              <w:divBdr>
                <w:top w:val="none" w:sz="0" w:space="0" w:color="auto"/>
                <w:left w:val="none" w:sz="0" w:space="0" w:color="auto"/>
                <w:bottom w:val="none" w:sz="0" w:space="0" w:color="auto"/>
                <w:right w:val="none" w:sz="0" w:space="0" w:color="auto"/>
              </w:divBdr>
              <w:divsChild>
                <w:div w:id="1203790271">
                  <w:marLeft w:val="0"/>
                  <w:marRight w:val="0"/>
                  <w:marTop w:val="0"/>
                  <w:marBottom w:val="0"/>
                  <w:divBdr>
                    <w:top w:val="none" w:sz="0" w:space="0" w:color="auto"/>
                    <w:left w:val="none" w:sz="0" w:space="0" w:color="auto"/>
                    <w:bottom w:val="none" w:sz="0" w:space="0" w:color="auto"/>
                    <w:right w:val="none" w:sz="0" w:space="0" w:color="auto"/>
                  </w:divBdr>
                </w:div>
                <w:div w:id="2094546072">
                  <w:marLeft w:val="0"/>
                  <w:marRight w:val="0"/>
                  <w:marTop w:val="0"/>
                  <w:marBottom w:val="0"/>
                  <w:divBdr>
                    <w:top w:val="none" w:sz="0" w:space="0" w:color="auto"/>
                    <w:left w:val="none" w:sz="0" w:space="0" w:color="auto"/>
                    <w:bottom w:val="none" w:sz="0" w:space="0" w:color="auto"/>
                    <w:right w:val="none" w:sz="0" w:space="0" w:color="auto"/>
                  </w:divBdr>
                </w:div>
              </w:divsChild>
            </w:div>
            <w:div w:id="2117945857">
              <w:marLeft w:val="0"/>
              <w:marRight w:val="0"/>
              <w:marTop w:val="0"/>
              <w:marBottom w:val="0"/>
              <w:divBdr>
                <w:top w:val="none" w:sz="0" w:space="0" w:color="auto"/>
                <w:left w:val="none" w:sz="0" w:space="0" w:color="auto"/>
                <w:bottom w:val="none" w:sz="0" w:space="0" w:color="auto"/>
                <w:right w:val="none" w:sz="0" w:space="0" w:color="auto"/>
              </w:divBdr>
            </w:div>
          </w:divsChild>
        </w:div>
        <w:div w:id="1140345287">
          <w:marLeft w:val="0"/>
          <w:marRight w:val="0"/>
          <w:marTop w:val="0"/>
          <w:marBottom w:val="0"/>
          <w:divBdr>
            <w:top w:val="none" w:sz="0" w:space="0" w:color="auto"/>
            <w:left w:val="none" w:sz="0" w:space="0" w:color="auto"/>
            <w:bottom w:val="none" w:sz="0" w:space="0" w:color="auto"/>
            <w:right w:val="none" w:sz="0" w:space="0" w:color="auto"/>
          </w:divBdr>
          <w:divsChild>
            <w:div w:id="852644528">
              <w:marLeft w:val="0"/>
              <w:marRight w:val="0"/>
              <w:marTop w:val="0"/>
              <w:marBottom w:val="150"/>
              <w:divBdr>
                <w:top w:val="none" w:sz="0" w:space="0" w:color="auto"/>
                <w:left w:val="none" w:sz="0" w:space="0" w:color="auto"/>
                <w:bottom w:val="none" w:sz="0" w:space="0" w:color="auto"/>
                <w:right w:val="none" w:sz="0" w:space="0" w:color="auto"/>
              </w:divBdr>
              <w:divsChild>
                <w:div w:id="891384701">
                  <w:marLeft w:val="0"/>
                  <w:marRight w:val="0"/>
                  <w:marTop w:val="0"/>
                  <w:marBottom w:val="0"/>
                  <w:divBdr>
                    <w:top w:val="none" w:sz="0" w:space="0" w:color="auto"/>
                    <w:left w:val="none" w:sz="0" w:space="0" w:color="auto"/>
                    <w:bottom w:val="none" w:sz="0" w:space="0" w:color="auto"/>
                    <w:right w:val="none" w:sz="0" w:space="0" w:color="auto"/>
                  </w:divBdr>
                </w:div>
                <w:div w:id="843321957">
                  <w:marLeft w:val="0"/>
                  <w:marRight w:val="0"/>
                  <w:marTop w:val="0"/>
                  <w:marBottom w:val="0"/>
                  <w:divBdr>
                    <w:top w:val="none" w:sz="0" w:space="0" w:color="auto"/>
                    <w:left w:val="none" w:sz="0" w:space="0" w:color="auto"/>
                    <w:bottom w:val="none" w:sz="0" w:space="0" w:color="auto"/>
                    <w:right w:val="none" w:sz="0" w:space="0" w:color="auto"/>
                  </w:divBdr>
                  <w:divsChild>
                    <w:div w:id="15349781">
                      <w:marLeft w:val="0"/>
                      <w:marRight w:val="0"/>
                      <w:marTop w:val="0"/>
                      <w:marBottom w:val="0"/>
                      <w:divBdr>
                        <w:top w:val="none" w:sz="0" w:space="0" w:color="auto"/>
                        <w:left w:val="none" w:sz="0" w:space="0" w:color="auto"/>
                        <w:bottom w:val="none" w:sz="0" w:space="0" w:color="auto"/>
                        <w:right w:val="none" w:sz="0" w:space="0" w:color="auto"/>
                      </w:divBdr>
                    </w:div>
                    <w:div w:id="1442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4656">
              <w:marLeft w:val="0"/>
              <w:marRight w:val="0"/>
              <w:marTop w:val="0"/>
              <w:marBottom w:val="0"/>
              <w:divBdr>
                <w:top w:val="none" w:sz="0" w:space="0" w:color="auto"/>
                <w:left w:val="none" w:sz="0" w:space="0" w:color="auto"/>
                <w:bottom w:val="none" w:sz="0" w:space="0" w:color="auto"/>
                <w:right w:val="none" w:sz="0" w:space="0" w:color="auto"/>
              </w:divBdr>
            </w:div>
          </w:divsChild>
        </w:div>
        <w:div w:id="1948342780">
          <w:marLeft w:val="0"/>
          <w:marRight w:val="0"/>
          <w:marTop w:val="0"/>
          <w:marBottom w:val="0"/>
          <w:divBdr>
            <w:top w:val="none" w:sz="0" w:space="0" w:color="auto"/>
            <w:left w:val="none" w:sz="0" w:space="0" w:color="auto"/>
            <w:bottom w:val="none" w:sz="0" w:space="0" w:color="auto"/>
            <w:right w:val="none" w:sz="0" w:space="0" w:color="auto"/>
          </w:divBdr>
          <w:divsChild>
            <w:div w:id="1489513731">
              <w:marLeft w:val="0"/>
              <w:marRight w:val="0"/>
              <w:marTop w:val="0"/>
              <w:marBottom w:val="150"/>
              <w:divBdr>
                <w:top w:val="none" w:sz="0" w:space="0" w:color="auto"/>
                <w:left w:val="none" w:sz="0" w:space="0" w:color="auto"/>
                <w:bottom w:val="none" w:sz="0" w:space="0" w:color="auto"/>
                <w:right w:val="none" w:sz="0" w:space="0" w:color="auto"/>
              </w:divBdr>
              <w:divsChild>
                <w:div w:id="2028017054">
                  <w:marLeft w:val="0"/>
                  <w:marRight w:val="0"/>
                  <w:marTop w:val="0"/>
                  <w:marBottom w:val="0"/>
                  <w:divBdr>
                    <w:top w:val="none" w:sz="0" w:space="0" w:color="auto"/>
                    <w:left w:val="none" w:sz="0" w:space="0" w:color="auto"/>
                    <w:bottom w:val="none" w:sz="0" w:space="0" w:color="auto"/>
                    <w:right w:val="none" w:sz="0" w:space="0" w:color="auto"/>
                  </w:divBdr>
                </w:div>
                <w:div w:id="1829635781">
                  <w:marLeft w:val="0"/>
                  <w:marRight w:val="0"/>
                  <w:marTop w:val="0"/>
                  <w:marBottom w:val="0"/>
                  <w:divBdr>
                    <w:top w:val="none" w:sz="0" w:space="0" w:color="auto"/>
                    <w:left w:val="none" w:sz="0" w:space="0" w:color="auto"/>
                    <w:bottom w:val="none" w:sz="0" w:space="0" w:color="auto"/>
                    <w:right w:val="none" w:sz="0" w:space="0" w:color="auto"/>
                  </w:divBdr>
                </w:div>
                <w:div w:id="2087610634">
                  <w:marLeft w:val="0"/>
                  <w:marRight w:val="0"/>
                  <w:marTop w:val="0"/>
                  <w:marBottom w:val="0"/>
                  <w:divBdr>
                    <w:top w:val="none" w:sz="0" w:space="0" w:color="auto"/>
                    <w:left w:val="none" w:sz="0" w:space="0" w:color="auto"/>
                    <w:bottom w:val="none" w:sz="0" w:space="0" w:color="auto"/>
                    <w:right w:val="none" w:sz="0" w:space="0" w:color="auto"/>
                  </w:divBdr>
                </w:div>
                <w:div w:id="442263655">
                  <w:marLeft w:val="0"/>
                  <w:marRight w:val="0"/>
                  <w:marTop w:val="0"/>
                  <w:marBottom w:val="0"/>
                  <w:divBdr>
                    <w:top w:val="none" w:sz="0" w:space="0" w:color="auto"/>
                    <w:left w:val="none" w:sz="0" w:space="0" w:color="auto"/>
                    <w:bottom w:val="none" w:sz="0" w:space="0" w:color="auto"/>
                    <w:right w:val="none" w:sz="0" w:space="0" w:color="auto"/>
                  </w:divBdr>
                </w:div>
                <w:div w:id="711807209">
                  <w:marLeft w:val="0"/>
                  <w:marRight w:val="0"/>
                  <w:marTop w:val="0"/>
                  <w:marBottom w:val="0"/>
                  <w:divBdr>
                    <w:top w:val="none" w:sz="0" w:space="0" w:color="auto"/>
                    <w:left w:val="none" w:sz="0" w:space="0" w:color="auto"/>
                    <w:bottom w:val="none" w:sz="0" w:space="0" w:color="auto"/>
                    <w:right w:val="none" w:sz="0" w:space="0" w:color="auto"/>
                  </w:divBdr>
                </w:div>
                <w:div w:id="7160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3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eonovgrad.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map.ted.europa.e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pc.bg/" TargetMode="External"/><Relationship Id="rId5" Type="http://schemas.openxmlformats.org/officeDocument/2006/relationships/hyperlink" Target="http://www.aop.bg/fckedit2/user/File/bg/practika/e_sender_e.pdf" TargetMode="External"/><Relationship Id="rId10" Type="http://schemas.openxmlformats.org/officeDocument/2006/relationships/hyperlink" Target="http://www.simeonovgrad.bg/profilebuyer" TargetMode="External"/><Relationship Id="rId4" Type="http://schemas.openxmlformats.org/officeDocument/2006/relationships/webSettings" Target="webSettings.xml"/><Relationship Id="rId9" Type="http://schemas.openxmlformats.org/officeDocument/2006/relationships/hyperlink" Target="http://www.simeonovgrad.bg/profilebuyer"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4657</Words>
  <Characters>26546</Characters>
  <Application>Microsoft Office Word</Application>
  <DocSecurity>0</DocSecurity>
  <Lines>221</Lines>
  <Paragraphs>62</Paragraphs>
  <ScaleCrop>false</ScaleCrop>
  <Company/>
  <LinksUpToDate>false</LinksUpToDate>
  <CharactersWithSpaces>31141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cp:revision>
  <dcterms:created xsi:type="dcterms:W3CDTF">2020-03-20T12:02:00Z</dcterms:created>
  <dcterms:modified xsi:type="dcterms:W3CDTF">2020-03-20T12:03:00Z</dcterms:modified>
</cp:coreProperties>
</file>