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6E" w:rsidRPr="006C436E" w:rsidRDefault="006C436E" w:rsidP="006C436E">
      <w:pPr>
        <w:rPr>
          <w:b/>
          <w:bCs/>
        </w:rPr>
      </w:pPr>
      <w:proofErr w:type="spellStart"/>
      <w:r w:rsidRPr="006C436E">
        <w:rPr>
          <w:b/>
          <w:bCs/>
        </w:rPr>
        <w:t>еловодна</w:t>
      </w:r>
      <w:proofErr w:type="spellEnd"/>
      <w:r w:rsidRPr="006C436E">
        <w:rPr>
          <w:b/>
          <w:bCs/>
        </w:rPr>
        <w:t xml:space="preserve">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89"/>
        <w:gridCol w:w="11801"/>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Партида на възложителя: 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Поделение: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Изходящ номер: С-1579 от дата: 20/03/2020 </w:t>
            </w:r>
            <w:r w:rsidRPr="006C436E">
              <w:rPr>
                <w:i/>
                <w:iCs/>
              </w:rPr>
              <w:t>(</w:t>
            </w:r>
            <w:proofErr w:type="spellStart"/>
            <w:r w:rsidRPr="006C436E">
              <w:rPr>
                <w:i/>
                <w:iCs/>
              </w:rPr>
              <w:t>дд</w:t>
            </w:r>
            <w:proofErr w:type="spellEnd"/>
            <w:r w:rsidRPr="006C436E">
              <w:rPr>
                <w:i/>
                <w:iCs/>
              </w:rPr>
              <w:t>/мм/</w:t>
            </w:r>
            <w:proofErr w:type="spellStart"/>
            <w:r w:rsidRPr="006C436E">
              <w:rPr>
                <w:i/>
                <w:iCs/>
              </w:rPr>
              <w:t>гггг</w:t>
            </w:r>
            <w:proofErr w:type="spellEnd"/>
            <w:r w:rsidRPr="006C436E">
              <w:rPr>
                <w:i/>
                <w:iCs/>
              </w:rPr>
              <w:t>)</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Съгласен съм с </w:t>
            </w:r>
            <w:hyperlink r:id="rId5" w:tgtFrame="_blank" w:history="1">
              <w:r w:rsidRPr="006C436E">
                <w:rPr>
                  <w:rStyle w:val="a3"/>
                </w:rPr>
                <w:t>Общите условия</w:t>
              </w:r>
            </w:hyperlink>
            <w:r w:rsidRPr="006C436E">
              <w:t> на АОП за използване на услугата Електронен подател:</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Дата на изпращане на обявлението до ОВ на ЕС:</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Заведено в преписка: 00638-2020-0004</w:t>
            </w:r>
            <w:r w:rsidRPr="006C436E">
              <w:t> </w:t>
            </w:r>
            <w:r w:rsidRPr="006C436E">
              <w:rPr>
                <w:i/>
                <w:iCs/>
              </w:rPr>
              <w:t>(</w:t>
            </w:r>
            <w:proofErr w:type="spellStart"/>
            <w:r w:rsidRPr="006C436E">
              <w:rPr>
                <w:i/>
                <w:iCs/>
              </w:rPr>
              <w:t>nnnnn-yyyy-xxxx</w:t>
            </w:r>
            <w:proofErr w:type="spellEnd"/>
            <w:r w:rsidRPr="006C436E">
              <w:rPr>
                <w:i/>
                <w:iCs/>
              </w:rPr>
              <w:t>)</w:t>
            </w:r>
          </w:p>
        </w:tc>
      </w:tr>
    </w:tbl>
    <w:p w:rsidR="006C436E" w:rsidRPr="006C436E" w:rsidRDefault="006C436E" w:rsidP="006C436E">
      <w:r w:rsidRPr="006C436E">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902"/>
      </w:tblGrid>
      <w:tr w:rsidR="006C436E" w:rsidRPr="006C436E" w:rsidTr="006C436E">
        <w:trPr>
          <w:tblCellSpacing w:w="15" w:type="dxa"/>
        </w:trPr>
        <w:tc>
          <w:tcPr>
            <w:tcW w:w="0" w:type="auto"/>
            <w:vAlign w:val="center"/>
            <w:hideMark/>
          </w:tcPr>
          <w:p w:rsidR="006C436E" w:rsidRPr="006C436E" w:rsidRDefault="006C436E" w:rsidP="006C436E">
            <w:r w:rsidRPr="006C436E">
              <w:drawing>
                <wp:inline distT="0" distB="0" distL="0" distR="0">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6C436E" w:rsidRPr="006C436E" w:rsidRDefault="006C436E" w:rsidP="006C436E">
            <w:pPr>
              <w:rPr>
                <w:b/>
                <w:bCs/>
              </w:rPr>
            </w:pPr>
            <w:r w:rsidRPr="006C436E">
              <w:rPr>
                <w:b/>
                <w:bCs/>
              </w:rPr>
              <w:t>Притурка към Официален вестник на Европейския съюз</w:t>
            </w:r>
          </w:p>
          <w:p w:rsidR="00000000" w:rsidRPr="006C436E" w:rsidRDefault="006C436E" w:rsidP="006C436E">
            <w:r w:rsidRPr="006C436E">
              <w:t>Информация и онлайн формуляри: </w:t>
            </w:r>
            <w:hyperlink r:id="rId7" w:tgtFrame="_blank" w:history="1">
              <w:r w:rsidRPr="006C436E">
                <w:rPr>
                  <w:rStyle w:val="a3"/>
                </w:rPr>
                <w:t>http://simap.ted.europa.eu</w:t>
              </w:r>
            </w:hyperlink>
          </w:p>
        </w:tc>
      </w:tr>
    </w:tbl>
    <w:p w:rsidR="006C436E" w:rsidRPr="006C436E" w:rsidRDefault="006C436E" w:rsidP="006C436E">
      <w:pPr>
        <w:rPr>
          <w:b/>
          <w:bCs/>
        </w:rPr>
      </w:pPr>
      <w:r w:rsidRPr="006C436E">
        <w:rPr>
          <w:b/>
          <w:bCs/>
        </w:rPr>
        <w:t>Обявление за поръчка</w:t>
      </w:r>
    </w:p>
    <w:p w:rsidR="006C436E" w:rsidRPr="006C436E" w:rsidRDefault="006C436E" w:rsidP="006C436E">
      <w:r w:rsidRPr="006C436E">
        <w:t>Директива 2014/24/ЕС/ЗОП</w:t>
      </w:r>
    </w:p>
    <w:p w:rsidR="006C436E" w:rsidRPr="006C436E" w:rsidRDefault="006C436E" w:rsidP="006C436E">
      <w:pPr>
        <w:rPr>
          <w:b/>
          <w:bCs/>
        </w:rPr>
      </w:pPr>
      <w:r w:rsidRPr="006C436E">
        <w:rPr>
          <w:b/>
          <w:bCs/>
        </w:rPr>
        <w:t> Раздел I: Възлагащ орган</w:t>
      </w:r>
    </w:p>
    <w:p w:rsidR="006C436E" w:rsidRPr="006C436E" w:rsidRDefault="006C436E" w:rsidP="006C436E">
      <w:r w:rsidRPr="006C436E">
        <w:rPr>
          <w:b/>
          <w:bCs/>
        </w:rPr>
        <w:t>I.1) Наименование и адреси</w:t>
      </w:r>
      <w:r w:rsidRPr="006C436E">
        <w:t> </w:t>
      </w:r>
      <w:r w:rsidRPr="006C436E">
        <w:rPr>
          <w:vertAlign w:val="superscript"/>
        </w:rPr>
        <w:t>1</w:t>
      </w:r>
      <w:r w:rsidRPr="006C436E">
        <w:t> </w:t>
      </w:r>
      <w:r w:rsidRPr="006C436E">
        <w:rPr>
          <w:i/>
          <w:iCs/>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3992"/>
        <w:gridCol w:w="2991"/>
        <w:gridCol w:w="3543"/>
        <w:gridCol w:w="8014"/>
      </w:tblGrid>
      <w:tr w:rsidR="006C436E" w:rsidRPr="006C436E" w:rsidT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Официално наименование: 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Национален регистрационен номер: 000903729</w:t>
            </w:r>
          </w:p>
        </w:tc>
      </w:tr>
      <w:tr w:rsidR="006C436E" w:rsidRPr="006C436E" w:rsidTr="006C436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адрес: пл.Шейновски №3</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Град: гр.Симеоновград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код NUTS: 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код: 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Държава: България</w:t>
            </w:r>
          </w:p>
        </w:tc>
      </w:tr>
      <w:tr w:rsidR="006C436E" w:rsidRPr="006C436E" w:rsidT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Лице за контакт: 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Телефон: +359 3781-2341</w:t>
            </w:r>
          </w:p>
        </w:tc>
      </w:tr>
      <w:tr w:rsidR="006C436E" w:rsidRPr="006C436E" w:rsidT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Електронна поща: 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Факс: +359 3781-2006</w:t>
            </w:r>
          </w:p>
        </w:tc>
      </w:tr>
      <w:tr w:rsidR="006C436E" w:rsidRPr="006C436E" w:rsidTr="006C436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Интернет адрес/и</w:t>
            </w:r>
          </w:p>
          <w:p w:rsidR="006C436E" w:rsidRPr="006C436E" w:rsidRDefault="006C436E" w:rsidP="006C436E">
            <w:r w:rsidRPr="006C436E">
              <w:t>Основен адрес: </w:t>
            </w:r>
            <w:r w:rsidRPr="006C436E">
              <w:rPr>
                <w:i/>
                <w:iCs/>
              </w:rPr>
              <w:t>(URL)</w:t>
            </w:r>
            <w:r w:rsidRPr="006C436E">
              <w:t> </w:t>
            </w:r>
            <w:hyperlink r:id="rId8" w:tgtFrame="_blank" w:history="1">
              <w:r w:rsidRPr="006C436E">
                <w:rPr>
                  <w:rStyle w:val="a3"/>
                </w:rPr>
                <w:t>http://www.simeonovgrad.bg</w:t>
              </w:r>
            </w:hyperlink>
          </w:p>
          <w:p w:rsidR="00000000" w:rsidRPr="006C436E" w:rsidRDefault="006C436E" w:rsidP="006C436E">
            <w:r w:rsidRPr="006C436E">
              <w:t>Адрес на профила на купувача: </w:t>
            </w:r>
            <w:r w:rsidRPr="006C436E">
              <w:rPr>
                <w:i/>
                <w:iCs/>
              </w:rPr>
              <w:t>(URL)</w:t>
            </w:r>
            <w:r w:rsidRPr="006C436E">
              <w:t> </w:t>
            </w:r>
            <w:hyperlink r:id="rId9" w:tgtFrame="_blank" w:history="1">
              <w:r w:rsidRPr="006C436E">
                <w:rPr>
                  <w:rStyle w:val="a3"/>
                </w:rPr>
                <w:t>http://www.simeonovgrad.bg/profilebuyer</w:t>
              </w:r>
            </w:hyperlink>
          </w:p>
        </w:tc>
      </w:tr>
    </w:tbl>
    <w:p w:rsidR="006C436E" w:rsidRPr="006C436E" w:rsidRDefault="006C436E" w:rsidP="006C436E"/>
    <w:p w:rsidR="006C436E" w:rsidRPr="006C436E" w:rsidRDefault="006C436E" w:rsidP="006C436E">
      <w:r w:rsidRPr="006C436E">
        <w:rPr>
          <w:b/>
          <w:bCs/>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gridCol w:w="14163"/>
            </w:tblGrid>
            <w:tr w:rsidR="006C436E" w:rsidRPr="006C436E">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Поръчката обхваща съвместно възлагане: НЕ</w:t>
                  </w:r>
                </w:p>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6C436E" w:rsidRPr="006C436E" w:rsidRDefault="006C436E" w:rsidP="006C436E">
                  <w:r w:rsidRPr="006C436E">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6C436E" w:rsidRPr="006C436E">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Поръчката се възлага от централен орган за покупки: НЕ</w:t>
                  </w:r>
                </w:p>
              </w:tc>
            </w:tr>
          </w:tbl>
          <w:p w:rsidR="006C436E" w:rsidRPr="006C436E" w:rsidRDefault="006C436E" w:rsidP="006C436E"/>
        </w:tc>
      </w:tr>
    </w:tbl>
    <w:p w:rsidR="006C436E" w:rsidRPr="006C436E" w:rsidRDefault="006C436E" w:rsidP="006C436E"/>
    <w:p w:rsidR="006C436E" w:rsidRPr="006C436E" w:rsidRDefault="006C436E" w:rsidP="006C436E">
      <w:r w:rsidRPr="006C436E">
        <w:rPr>
          <w:b/>
          <w:bCs/>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69"/>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9"/>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Документацията за обществената поръчка е достъпна за неограничен и пълен пряк безплатен достъп на: (URL)</w:t>
                        </w:r>
                      </w:p>
                    </w:tc>
                  </w:tr>
                </w:tbl>
                <w:p w:rsidR="006C436E" w:rsidRPr="006C436E" w:rsidRDefault="006C436E" w:rsidP="006C436E"/>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(URL): </w:t>
                  </w:r>
                  <w:hyperlink r:id="rId10" w:tgtFrame="_blank" w:history="1">
                    <w:r w:rsidRPr="006C436E">
                      <w:rPr>
                        <w:rStyle w:val="a3"/>
                      </w:rPr>
                      <w:t>http://www.simeonovgrad.bg/profilebuyer</w:t>
                    </w:r>
                  </w:hyperlink>
                </w:p>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9"/>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7"/>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Горепосоченото/</w:t>
                        </w:r>
                        <w:proofErr w:type="spellStart"/>
                        <w:r w:rsidRPr="006C436E">
                          <w:t>ите</w:t>
                        </w:r>
                        <w:proofErr w:type="spellEnd"/>
                        <w:r w:rsidRPr="006C436E">
                          <w:t xml:space="preserve"> място/места за контакт</w:t>
                        </w:r>
                      </w:p>
                    </w:tc>
                  </w:tr>
                </w:tbl>
                <w:p w:rsidR="006C436E" w:rsidRPr="006C436E" w:rsidRDefault="006C436E" w:rsidP="006C436E"/>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17"/>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7"/>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Горепосоченото/</w:t>
                        </w:r>
                        <w:proofErr w:type="spellStart"/>
                        <w:r w:rsidRPr="006C436E">
                          <w:t>ите</w:t>
                        </w:r>
                        <w:proofErr w:type="spellEnd"/>
                        <w:r w:rsidRPr="006C436E">
                          <w:t xml:space="preserve"> място/места за контакт</w:t>
                        </w:r>
                      </w:p>
                    </w:tc>
                  </w:tr>
                </w:tbl>
                <w:p w:rsidR="006C436E" w:rsidRPr="006C436E" w:rsidRDefault="006C436E" w:rsidP="006C436E"/>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електронно посредством: НЕ  </w:t>
                  </w:r>
                </w:p>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1"/>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НЕ (URL):</w:t>
                  </w:r>
                </w:p>
              </w:tc>
            </w:tr>
          </w:tbl>
          <w:p w:rsidR="006C436E" w:rsidRPr="006C436E" w:rsidRDefault="006C436E" w:rsidP="006C436E"/>
        </w:tc>
      </w:tr>
    </w:tbl>
    <w:p w:rsidR="006C436E" w:rsidRPr="006C436E" w:rsidRDefault="006C436E" w:rsidP="006C436E"/>
    <w:p w:rsidR="006C436E" w:rsidRPr="006C436E" w:rsidRDefault="006C436E" w:rsidP="006C436E">
      <w:r w:rsidRPr="006C436E">
        <w:rPr>
          <w:b/>
          <w:bCs/>
        </w:rPr>
        <w:t>I.4) Вид на възлагащия орган</w:t>
      </w:r>
      <w:r w:rsidRPr="006C436E">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0"/>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Регионален или местен орган</w:t>
                        </w:r>
                      </w:p>
                    </w:tc>
                  </w:tr>
                </w:tbl>
                <w:p w:rsidR="006C436E" w:rsidRPr="006C436E" w:rsidRDefault="006C436E" w:rsidP="006C436E"/>
              </w:tc>
            </w:tr>
          </w:tbl>
          <w:p w:rsidR="006C436E" w:rsidRPr="006C436E" w:rsidRDefault="006C436E" w:rsidP="006C436E"/>
        </w:tc>
      </w:tr>
    </w:tbl>
    <w:p w:rsidR="006C436E" w:rsidRPr="006C436E" w:rsidRDefault="006C436E" w:rsidP="006C436E"/>
    <w:p w:rsidR="006C436E" w:rsidRPr="006C436E" w:rsidRDefault="006C436E" w:rsidP="006C436E">
      <w:r w:rsidRPr="006C436E">
        <w:rPr>
          <w:b/>
          <w:bCs/>
        </w:rPr>
        <w:t>I.5) Основна дейност</w:t>
      </w:r>
      <w:r w:rsidRPr="006C436E">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3"/>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lastRenderedPageBreak/>
                          <w:t>Общи обществени услуги</w:t>
                        </w:r>
                      </w:p>
                    </w:tc>
                  </w:tr>
                </w:tbl>
                <w:p w:rsidR="006C436E" w:rsidRPr="006C436E" w:rsidRDefault="006C436E" w:rsidP="006C436E"/>
              </w:tc>
            </w:tr>
          </w:tbl>
          <w:p w:rsidR="006C436E" w:rsidRPr="006C436E" w:rsidRDefault="006C436E" w:rsidP="006C436E"/>
        </w:tc>
      </w:tr>
    </w:tbl>
    <w:p w:rsidR="006C436E" w:rsidRPr="006C436E" w:rsidRDefault="006C436E" w:rsidP="006C436E">
      <w:pPr>
        <w:rPr>
          <w:b/>
          <w:bCs/>
        </w:rPr>
      </w:pPr>
      <w:r w:rsidRPr="006C436E">
        <w:rPr>
          <w:b/>
          <w:bCs/>
        </w:rPr>
        <w:t>Раздел II: Предмет</w:t>
      </w:r>
    </w:p>
    <w:p w:rsidR="006C436E" w:rsidRPr="006C436E" w:rsidRDefault="006C436E" w:rsidP="006C436E">
      <w:r w:rsidRPr="006C436E">
        <w:rPr>
          <w:b/>
          <w:bCs/>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5243"/>
        <w:gridCol w:w="3237"/>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II.1.1) Наименование</w:t>
            </w:r>
            <w:r w:rsidRPr="006C436E">
              <w:t>: “Основен ремонт на обекти по следните обособени позиции“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Референтен номер: </w:t>
            </w:r>
            <w:r w:rsidRPr="006C436E">
              <w:rPr>
                <w:vertAlign w:val="superscript"/>
              </w:rPr>
              <w:t>2</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II.1.2) Основен CPV код</w:t>
            </w:r>
            <w:r w:rsidRPr="006C436E">
              <w:t>: 45210000      Допълнителен CPV код: </w:t>
            </w:r>
            <w:r w:rsidRPr="006C436E">
              <w:rPr>
                <w:vertAlign w:val="superscript"/>
              </w:rPr>
              <w:t>1</w:t>
            </w:r>
            <w:r w:rsidRPr="006C436E">
              <w:t> </w:t>
            </w:r>
            <w:r w:rsidRPr="006C436E">
              <w:rPr>
                <w:vertAlign w:val="superscript"/>
              </w:rPr>
              <w:t>2</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9"/>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II.1.3) Вид на поръчка</w:t>
                  </w:r>
                  <w:r w:rsidRPr="006C436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Строителство</w:t>
                        </w:r>
                      </w:p>
                    </w:tc>
                  </w:tr>
                </w:tbl>
                <w:p w:rsidR="006C436E" w:rsidRPr="006C436E" w:rsidRDefault="006C436E" w:rsidP="006C436E"/>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II.1.4) Кратко описание</w:t>
            </w:r>
            <w:r w:rsidRPr="006C436E">
              <w:t>:</w:t>
            </w:r>
            <w:r w:rsidRPr="006C436E">
              <w:br/>
              <w:t xml:space="preserve">Основен ремонт на обекти по следните обособени позиции: ОП№1„Основен ремонт на двуетажна масивна сграда и благоустрояване на УПИ XII-1108, кв.42, Симеоновград -Ремонтни дейности в двора на УПИ XII-1108, кв.42, Симеоновград, които </w:t>
            </w:r>
            <w:proofErr w:type="spellStart"/>
            <w:r w:rsidRPr="006C436E">
              <w:t>вкл</w:t>
            </w:r>
            <w:proofErr w:type="spellEnd"/>
            <w:r w:rsidRPr="006C436E">
              <w:t xml:space="preserve">:Ремонт на оградата; пренареждане, както и нова настилка по алеи и около сградата с </w:t>
            </w:r>
            <w:proofErr w:type="spellStart"/>
            <w:r w:rsidRPr="006C436E">
              <w:t>Ивайловградски</w:t>
            </w:r>
            <w:proofErr w:type="spellEnd"/>
            <w:r w:rsidRPr="006C436E">
              <w:t xml:space="preserve"> камък; нова </w:t>
            </w:r>
            <w:proofErr w:type="spellStart"/>
            <w:r w:rsidRPr="006C436E">
              <w:t>ВиК</w:t>
            </w:r>
            <w:proofErr w:type="spellEnd"/>
            <w:r w:rsidRPr="006C436E">
              <w:t xml:space="preserve"> инсталация за външна чешма; ново външно осветление; облагородяване на района около сградата;Ремонт на сградата отвън, който включва: ремонт покрив; нови дървени входни врати; боядисване на сградата с предшестваща </w:t>
            </w:r>
            <w:proofErr w:type="spellStart"/>
            <w:r w:rsidRPr="006C436E">
              <w:t>шпахловка</w:t>
            </w:r>
            <w:proofErr w:type="spellEnd"/>
            <w:r w:rsidRPr="006C436E">
              <w:t xml:space="preserve"> с мрежа; ремонт и боядисване на съществуващата дървена дограма.Ремонт на сградата отвътре, който включва: ремонт на дървената носеща конструкция в мазето; ново дюшеме на първия етаж; облицовка на стени с дървена ламперия; ремонт на стаята на уредника, с частична подмяна на дюшемето и ремонт стени; ремонт втори етаж и стълбище.ОП№2.“Основен ремонт на покрив кметство с.Дряново.</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II.1.5) Прогнозна обща стойност</w:t>
            </w:r>
            <w:r w:rsidRPr="006C436E">
              <w:t> </w:t>
            </w:r>
            <w:r w:rsidRPr="006C436E">
              <w:rPr>
                <w:vertAlign w:val="superscript"/>
              </w:rPr>
              <w:t>2</w:t>
            </w:r>
            <w:r w:rsidRPr="006C436E">
              <w:br/>
              <w:t>Стойност, без да се включва ДДС: 93600      Валута: BGN</w:t>
            </w:r>
            <w:r w:rsidRPr="006C436E">
              <w:br/>
            </w:r>
            <w:r w:rsidRPr="006C436E">
              <w:rPr>
                <w:i/>
                <w:iCs/>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8"/>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да</w:t>
                        </w:r>
                      </w:p>
                    </w:tc>
                  </w:tr>
                </w:tbl>
                <w:p w:rsidR="006C436E" w:rsidRPr="006C436E" w:rsidRDefault="006C436E" w:rsidP="006C436E"/>
              </w:tc>
            </w:tr>
          </w:tbl>
          <w:p w:rsidR="006C436E" w:rsidRPr="006C436E" w:rsidRDefault="006C436E" w:rsidP="006C436E">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5"/>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8"/>
                    <w:gridCol w:w="231"/>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6C436E" w:rsidRPr="006C436E" w:rsidRDefault="006C436E" w:rsidP="006C436E">
                        <w:r w:rsidRPr="006C436E">
                          <w:t>Оферти могат да бъдат подавани 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2"/>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всички обособени позиции</w:t>
                              </w:r>
                            </w:p>
                          </w:tc>
                        </w:tr>
                      </w:tbl>
                      <w:p w:rsidR="006C436E" w:rsidRPr="006C436E" w:rsidRDefault="006C436E" w:rsidP="006C436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6C436E" w:rsidRPr="006C436E" w:rsidRDefault="006C436E" w:rsidP="006C436E"/>
                    </w:tc>
                  </w:tr>
                </w:tbl>
                <w:p w:rsidR="006C436E" w:rsidRPr="006C436E" w:rsidRDefault="006C436E" w:rsidP="006C436E"/>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 Описание </w:t>
            </w:r>
            <w:r w:rsidRPr="006C436E">
              <w:rPr>
                <w:b/>
                <w:bCs/>
                <w:vertAlign w:val="superscript"/>
              </w:rPr>
              <w:t>1</w:t>
            </w:r>
          </w:p>
          <w:tbl>
            <w:tblPr>
              <w:tblW w:w="18300" w:type="dxa"/>
              <w:tblCellMar>
                <w:top w:w="15" w:type="dxa"/>
                <w:left w:w="15" w:type="dxa"/>
                <w:bottom w:w="15" w:type="dxa"/>
                <w:right w:w="15" w:type="dxa"/>
              </w:tblCellMar>
              <w:tblLook w:val="04A0" w:firstRow="1" w:lastRow="0" w:firstColumn="1" w:lastColumn="0" w:noHBand="0" w:noVBand="1"/>
            </w:tblPr>
            <w:tblGrid>
              <w:gridCol w:w="14525"/>
              <w:gridCol w:w="3775"/>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II.2.1) Наименование</w:t>
                  </w:r>
                  <w:r w:rsidRPr="006C436E">
                    <w:t>: </w:t>
                  </w:r>
                  <w:r w:rsidRPr="006C436E">
                    <w:rPr>
                      <w:vertAlign w:val="superscript"/>
                    </w:rPr>
                    <w:t>2</w:t>
                  </w:r>
                  <w:r w:rsidRPr="006C436E">
                    <w:t> „Основен ремонт на двуетажна масивна сграда и благоустрояване на УПИ XII-1108, кв.42,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Обособена позиция номер: </w:t>
                  </w:r>
                  <w:r w:rsidRPr="006C436E">
                    <w:rPr>
                      <w:vertAlign w:val="superscript"/>
                    </w:rPr>
                    <w:t>2</w:t>
                  </w:r>
                  <w:r w:rsidRPr="006C436E">
                    <w:t> 1</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II.2.2) Допълнителни CPV кодове </w:t>
                  </w:r>
                  <w:r w:rsidRPr="006C436E">
                    <w:rPr>
                      <w:b/>
                      <w:bCs/>
                      <w:vertAlign w:val="superscript"/>
                    </w:rPr>
                    <w:t>2</w:t>
                  </w:r>
                  <w:r w:rsidRPr="006C436E">
                    <w:br/>
                    <w:t>Основен CPV код: </w:t>
                  </w:r>
                  <w:r w:rsidRPr="006C436E">
                    <w:rPr>
                      <w:vertAlign w:val="superscript"/>
                    </w:rPr>
                    <w:t>1</w:t>
                  </w:r>
                  <w:r w:rsidRPr="006C436E">
                    <w:t> 45210000      Допълнителен CPV код: </w:t>
                  </w:r>
                  <w:r w:rsidRPr="006C436E">
                    <w:rPr>
                      <w:vertAlign w:val="superscript"/>
                    </w:rPr>
                    <w:t>1</w:t>
                  </w:r>
                  <w:r w:rsidRPr="006C436E">
                    <w:t> </w:t>
                  </w:r>
                  <w:r w:rsidRPr="006C436E">
                    <w:rPr>
                      <w:vertAlign w:val="superscript"/>
                    </w:rPr>
                    <w:t>2</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II.2.3) Място на изпълнение</w:t>
                  </w:r>
                  <w:r w:rsidRPr="006C436E">
                    <w:br/>
                    <w:t>код NUTS: </w:t>
                  </w:r>
                  <w:r w:rsidRPr="006C436E">
                    <w:rPr>
                      <w:vertAlign w:val="superscript"/>
                    </w:rPr>
                    <w:t>1</w:t>
                  </w:r>
                  <w:r w:rsidRPr="006C436E">
                    <w:t> BG422</w:t>
                  </w:r>
                  <w:r w:rsidRPr="006C436E">
                    <w:br/>
                    <w:t>Основно място на изпълнение:</w:t>
                  </w:r>
                  <w:r w:rsidRPr="006C436E">
                    <w:br/>
                    <w:t>гр.Симеоновград, УПИ XII-1108, кв.42, с Двуетажна масивна сграда</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II.2.4) Описание на обществената поръчка</w:t>
                  </w:r>
                  <w:r w:rsidRPr="006C436E">
                    <w:t>: </w:t>
                  </w:r>
                  <w:r w:rsidRPr="006C436E">
                    <w:rPr>
                      <w:i/>
                      <w:iCs/>
                    </w:rPr>
                    <w:t>(естество и количество на строителните работи, доставки или услуги или указване на потребности и изисквания)</w:t>
                  </w:r>
                  <w:r w:rsidRPr="006C436E">
                    <w:br/>
                    <w:t>Дейностите, които ще се извършат са следните:</w:t>
                  </w:r>
                  <w:r w:rsidRPr="006C436E">
                    <w:br/>
                    <w:t xml:space="preserve">- Ремонтни дейности в двора на УПИ XII-1108, кв.42, Симеоновград, които включват: Ремонт на оградата; пренареждане, както и нова настилка по алеи и около сградата с </w:t>
                  </w:r>
                  <w:proofErr w:type="spellStart"/>
                  <w:r w:rsidRPr="006C436E">
                    <w:t>Ивайловградски</w:t>
                  </w:r>
                  <w:proofErr w:type="spellEnd"/>
                  <w:r w:rsidRPr="006C436E">
                    <w:t xml:space="preserve"> камък или еквивалент; нова </w:t>
                  </w:r>
                  <w:proofErr w:type="spellStart"/>
                  <w:r w:rsidRPr="006C436E">
                    <w:t>ВиК</w:t>
                  </w:r>
                  <w:proofErr w:type="spellEnd"/>
                  <w:r w:rsidRPr="006C436E">
                    <w:t xml:space="preserve"> инсталация за външна чешма; ново външно осветление; облагородяване на района около сградата;</w:t>
                  </w:r>
                  <w:r w:rsidRPr="006C436E">
                    <w:br/>
                    <w:t xml:space="preserve">- Ремонт на сградата отвън, който включва: ремонт покрив; нови дървени входни врати; боядисване на сградата с предшестваща </w:t>
                  </w:r>
                  <w:proofErr w:type="spellStart"/>
                  <w:r w:rsidRPr="006C436E">
                    <w:t>шпахловка</w:t>
                  </w:r>
                  <w:proofErr w:type="spellEnd"/>
                  <w:r w:rsidRPr="006C436E">
                    <w:t xml:space="preserve"> с мрежа; ремонт и боядисване на </w:t>
                  </w:r>
                  <w:proofErr w:type="spellStart"/>
                  <w:r w:rsidRPr="006C436E">
                    <w:t>същестуваща</w:t>
                  </w:r>
                  <w:proofErr w:type="spellEnd"/>
                  <w:r w:rsidRPr="006C436E">
                    <w:t xml:space="preserve"> дървена дограма.</w:t>
                  </w:r>
                  <w:r w:rsidRPr="006C436E">
                    <w:br/>
                    <w:t>- Ремонт на сградата отвътре, който включва: ремонт на дървената носеща конструкция в мазето; ново дюшеме на първия етаж; облицовка на стени с дървена ламперия; ремонт на стаята на уредника, с частична подмяна на дюшемето и ремонт стени; ремонт втори етаж и стълбище.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2"/>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II.2.5) Критерии за възлагане</w:t>
                        </w:r>
                        <w:r w:rsidRPr="006C436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Критериите по-долу</w:t>
                              </w:r>
                            </w:p>
                          </w:tc>
                        </w:tr>
                      </w:tbl>
                      <w:p w:rsidR="006C436E" w:rsidRPr="006C436E" w:rsidRDefault="006C436E" w:rsidP="006C436E"/>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236"/>
                          <w:gridCol w:w="4450"/>
                        </w:tblGrid>
                        <w:tr w:rsidR="006C436E" w:rsidRPr="006C436E">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Критерий за качество: </w:t>
                              </w:r>
                              <w:r w:rsidRPr="006C436E">
                                <w:rPr>
                                  <w:vertAlign w:val="superscript"/>
                                </w:rPr>
                                <w:t>1</w:t>
                              </w:r>
                              <w:r w:rsidRPr="006C436E">
                                <w:t> </w:t>
                              </w:r>
                              <w:r w:rsidRPr="006C436E">
                                <w:rPr>
                                  <w:vertAlign w:val="superscript"/>
                                </w:rPr>
                                <w:t>2</w:t>
                              </w:r>
                              <w:r w:rsidRPr="006C436E">
                                <w:t> </w:t>
                              </w:r>
                              <w:r w:rsidRPr="006C436E">
                                <w:rPr>
                                  <w:vertAlign w:val="superscript"/>
                                </w:rPr>
                                <w:t>20</w:t>
                              </w:r>
                              <w:r w:rsidRPr="006C436E">
                                <w:t> 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Име: Качество на организация    Тежест: 40</w:t>
                              </w:r>
                            </w:p>
                          </w:tc>
                        </w:tr>
                        <w:tr w:rsidR="006C436E" w:rsidRPr="006C436E">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Цена</w:t>
                                    </w:r>
                                  </w:p>
                                </w:tc>
                              </w:tr>
                            </w:tbl>
                            <w:p w:rsidR="006C436E" w:rsidRPr="006C436E" w:rsidRDefault="006C436E" w:rsidP="006C436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Тежест: </w:t>
                              </w:r>
                              <w:r w:rsidRPr="006C436E">
                                <w:rPr>
                                  <w:vertAlign w:val="superscript"/>
                                </w:rPr>
                                <w:t>21</w:t>
                              </w:r>
                              <w:r w:rsidRPr="006C436E">
                                <w:t> 60</w:t>
                              </w:r>
                            </w:p>
                          </w:tc>
                        </w:tr>
                      </w:tbl>
                      <w:p w:rsidR="006C436E" w:rsidRPr="006C436E" w:rsidRDefault="006C436E" w:rsidP="006C436E"/>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II.2.6) Прогнозна стойност</w:t>
                  </w:r>
                  <w:r w:rsidRPr="006C436E">
                    <w:br/>
                    <w:t>Стойност, без да се включва ДДС: 77000      Валута: BGN</w:t>
                  </w:r>
                  <w:r w:rsidRPr="006C436E">
                    <w:br/>
                  </w:r>
                  <w:r w:rsidRPr="006C436E">
                    <w:rPr>
                      <w:i/>
                      <w:iCs/>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II.2.7) Продължителност на поръчката, рамковото споразумение или динамичната система за покупки</w:t>
                  </w:r>
                  <w:r w:rsidRPr="006C436E">
                    <w:br/>
                    <w:t>Продължителност в дни: 90</w:t>
                  </w:r>
                  <w:r w:rsidRPr="006C436E">
                    <w:br/>
                  </w:r>
                  <w:r w:rsidRPr="006C436E">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r w:rsidRPr="006C436E">
                    <w:lastRenderedPageBreak/>
                    <w:br/>
                    <w:t xml:space="preserve">Описание на </w:t>
                  </w:r>
                  <w:proofErr w:type="spellStart"/>
                  <w:r w:rsidRPr="006C436E">
                    <w:t>подновяванията</w:t>
                  </w:r>
                  <w:proofErr w:type="spellEnd"/>
                  <w:r w:rsidRPr="006C436E">
                    <w:t>:</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 xml:space="preserve">II.2.9) Информация относно ограничение за броя на </w:t>
                  </w:r>
                  <w:proofErr w:type="spellStart"/>
                  <w:r w:rsidRPr="006C436E">
                    <w:rPr>
                      <w:b/>
                      <w:bCs/>
                    </w:rPr>
                    <w:t>кадидатите</w:t>
                  </w:r>
                  <w:proofErr w:type="spellEnd"/>
                  <w:r w:rsidRPr="006C436E">
                    <w:rPr>
                      <w:b/>
                      <w:bCs/>
                    </w:rPr>
                    <w:t>, които ще бъдат поканени </w:t>
                  </w:r>
                  <w:r w:rsidRPr="006C436E">
                    <w:rPr>
                      <w:i/>
                      <w:iCs/>
                    </w:rPr>
                    <w:t>(с изключение на открити процедури)</w:t>
                  </w:r>
                  <w:r w:rsidRPr="006C436E">
                    <w:br/>
                    <w:t>Очакван брой кандидати:</w:t>
                  </w:r>
                  <w:r w:rsidRPr="006C436E">
                    <w:br/>
                  </w:r>
                  <w:r w:rsidRPr="006C436E">
                    <w:rPr>
                      <w:i/>
                      <w:iCs/>
                    </w:rPr>
                    <w:t>или</w:t>
                  </w:r>
                  <w:r w:rsidRPr="006C436E">
                    <w:t> Предвиден минимален брой:  </w:t>
                  </w:r>
                  <w:r w:rsidRPr="006C436E">
                    <w:rPr>
                      <w:i/>
                      <w:iCs/>
                    </w:rPr>
                    <w:t>/</w:t>
                  </w:r>
                  <w:r w:rsidRPr="006C436E">
                    <w:t> Максимален брой: (</w:t>
                  </w:r>
                  <w:r w:rsidRPr="006C436E">
                    <w:rPr>
                      <w:vertAlign w:val="superscript"/>
                    </w:rPr>
                    <w:t>2</w:t>
                  </w:r>
                  <w:r w:rsidRPr="006C436E">
                    <w:t>)</w:t>
                  </w:r>
                  <w:r w:rsidRPr="006C436E">
                    <w:br/>
                    <w:t xml:space="preserve">Обективни критерии за избор на ограничен брой </w:t>
                  </w:r>
                  <w:proofErr w:type="spellStart"/>
                  <w:r w:rsidRPr="006C436E">
                    <w:t>кандиадти</w:t>
                  </w:r>
                  <w:proofErr w:type="spellEnd"/>
                  <w:r w:rsidRPr="006C436E">
                    <w:t>:</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II.2.10) Информация относно вариантите</w:t>
                  </w:r>
                  <w:r w:rsidRPr="006C436E">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II.2.11) Информация относно опциите</w:t>
                  </w:r>
                  <w:r w:rsidRPr="006C436E">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r w:rsidRPr="006C436E">
                    <w:br/>
                    <w:t>Описание на опциите: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II.2.12) Информация относно електронни каталози</w:t>
                  </w:r>
                  <w:r w:rsidRPr="006C436E">
                    <w:br/>
                    <w:t>Офертите трябва да бъдат представени под формата на електронни каталози или да включват електронен каталог: НЕ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II.2.13) Информация относно средства от Европейския съюз</w:t>
                  </w:r>
                  <w:r w:rsidRPr="006C436E">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II.2.14) Допълнителна информация</w:t>
                  </w:r>
                  <w:r w:rsidRPr="006C436E">
                    <w:t>:</w:t>
                  </w:r>
                  <w:r w:rsidRPr="006C436E">
                    <w:br/>
                  </w:r>
                  <w:proofErr w:type="spellStart"/>
                  <w:r w:rsidRPr="006C436E">
                    <w:t>Възложителаят</w:t>
                  </w:r>
                  <w:proofErr w:type="spellEnd"/>
                  <w:r w:rsidRPr="006C436E">
                    <w:t xml:space="preserve"> определя срок за изпълнение на предмета на всяка обособена позиция, а именно: минимален срок не по-кратък от 30 (тридесет) календарни дни и максимален срок не по-дълъг от 90 (деветдесет) календарни дни.</w:t>
                  </w:r>
                </w:p>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II.2) Описание </w:t>
            </w:r>
            <w:r w:rsidRPr="006C436E">
              <w:rPr>
                <w:b/>
                <w:bCs/>
                <w:vertAlign w:val="superscript"/>
              </w:rPr>
              <w:t>1</w:t>
            </w:r>
          </w:p>
          <w:tbl>
            <w:tblPr>
              <w:tblW w:w="18300" w:type="dxa"/>
              <w:tblCellMar>
                <w:top w:w="15" w:type="dxa"/>
                <w:left w:w="15" w:type="dxa"/>
                <w:bottom w:w="15" w:type="dxa"/>
                <w:right w:w="15" w:type="dxa"/>
              </w:tblCellMar>
              <w:tblLook w:val="04A0" w:firstRow="1" w:lastRow="0" w:firstColumn="1" w:lastColumn="0" w:noHBand="0" w:noVBand="1"/>
            </w:tblPr>
            <w:tblGrid>
              <w:gridCol w:w="12856"/>
              <w:gridCol w:w="5444"/>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 Наименование</w:t>
                  </w:r>
                  <w:r w:rsidRPr="006C436E">
                    <w:t>: </w:t>
                  </w:r>
                  <w:r w:rsidRPr="006C436E">
                    <w:rPr>
                      <w:vertAlign w:val="superscript"/>
                    </w:rPr>
                    <w:t>2</w:t>
                  </w:r>
                  <w:r w:rsidRPr="006C436E">
                    <w:t> „Основен ремонт на покрив кметство с.Дряново“.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Обособена позиция номер: </w:t>
                  </w:r>
                  <w:r w:rsidRPr="006C436E">
                    <w:rPr>
                      <w:vertAlign w:val="superscript"/>
                    </w:rPr>
                    <w:t>2</w:t>
                  </w:r>
                  <w:r w:rsidRPr="006C436E">
                    <w:t> </w:t>
                  </w:r>
                  <w:proofErr w:type="spellStart"/>
                  <w:r w:rsidRPr="006C436E">
                    <w:t>2</w:t>
                  </w:r>
                  <w:proofErr w:type="spellEnd"/>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II.2.2) Допълнителни CPV кодове </w:t>
                  </w:r>
                  <w:r w:rsidRPr="006C436E">
                    <w:rPr>
                      <w:b/>
                      <w:bCs/>
                      <w:vertAlign w:val="superscript"/>
                    </w:rPr>
                    <w:t>2</w:t>
                  </w:r>
                  <w:r w:rsidRPr="006C436E">
                    <w:br/>
                    <w:t>Основен CPV код: </w:t>
                  </w:r>
                  <w:r w:rsidRPr="006C436E">
                    <w:rPr>
                      <w:vertAlign w:val="superscript"/>
                    </w:rPr>
                    <w:t>1</w:t>
                  </w:r>
                  <w:r w:rsidRPr="006C436E">
                    <w:t> 45210000      Допълнителен CPV код: </w:t>
                  </w:r>
                  <w:r w:rsidRPr="006C436E">
                    <w:rPr>
                      <w:vertAlign w:val="superscript"/>
                    </w:rPr>
                    <w:t>1</w:t>
                  </w:r>
                  <w:r w:rsidRPr="006C436E">
                    <w:t> </w:t>
                  </w:r>
                  <w:r w:rsidRPr="006C436E">
                    <w:rPr>
                      <w:vertAlign w:val="superscript"/>
                    </w:rPr>
                    <w:t>2</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II.2.3) Място на изпълнение</w:t>
                  </w:r>
                  <w:r w:rsidRPr="006C436E">
                    <w:br/>
                    <w:t>код NUTS: </w:t>
                  </w:r>
                  <w:r w:rsidRPr="006C436E">
                    <w:rPr>
                      <w:vertAlign w:val="superscript"/>
                    </w:rPr>
                    <w:t>1</w:t>
                  </w:r>
                  <w:r w:rsidRPr="006C436E">
                    <w:t> BG422</w:t>
                  </w:r>
                  <w:r w:rsidRPr="006C436E">
                    <w:br/>
                  </w:r>
                  <w:r w:rsidRPr="006C436E">
                    <w:lastRenderedPageBreak/>
                    <w:t>Основно място на изпълнение:</w:t>
                  </w:r>
                  <w:r w:rsidRPr="006C436E">
                    <w:br/>
                    <w:t>с.Дряново, общ.Симеоновград</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II.2.4) Описание на обществената поръчка</w:t>
                  </w:r>
                  <w:r w:rsidRPr="006C436E">
                    <w:t>: </w:t>
                  </w:r>
                  <w:r w:rsidRPr="006C436E">
                    <w:rPr>
                      <w:i/>
                      <w:iCs/>
                    </w:rPr>
                    <w:t>(естество и количество на строителните работи, доставки или услуги или указване на потребности и изисквания)</w:t>
                  </w:r>
                  <w:r w:rsidRPr="006C436E">
                    <w:br/>
                    <w:t>Дейностите, които ще се извършат са следните:</w:t>
                  </w:r>
                  <w:r w:rsidRPr="006C436E">
                    <w:br/>
                    <w:t xml:space="preserve">- Разкриване на част от покрива, демонтиране на прогнилите елементи от </w:t>
                  </w:r>
                  <w:proofErr w:type="spellStart"/>
                  <w:r w:rsidRPr="006C436E">
                    <w:t>носещатата</w:t>
                  </w:r>
                  <w:proofErr w:type="spellEnd"/>
                  <w:r w:rsidRPr="006C436E">
                    <w:t xml:space="preserve"> дървена конструкция, дървената обшивка и керемидите, челните дъски;</w:t>
                  </w:r>
                  <w:r w:rsidRPr="006C436E">
                    <w:br/>
                    <w:t>- Сваляне на отпадъците /всеки участник сам да прецени по какъв начин ще свали отпадъците сградата е висока около 15 м/ и извозване на 10 км.;</w:t>
                  </w:r>
                  <w:r w:rsidRPr="006C436E">
                    <w:br/>
                    <w:t>- Улуците и водосточните тръби се демонтират и се монтират нови;</w:t>
                  </w:r>
                  <w:r w:rsidRPr="006C436E">
                    <w:br/>
                    <w:t>- Монтират се нови челни дъски, които трябва да бъдат лакирани;</w:t>
                  </w:r>
                  <w:r w:rsidRPr="006C436E">
                    <w:br/>
                    <w:t>- Частична подмяна на елементи на дървената носеща конструкция, нова дъсчена обшивка, битумна мушама, летви, нови керемиди и капаци по била и ръбове;</w:t>
                  </w:r>
                  <w:r w:rsidRPr="006C436E">
                    <w:br/>
                    <w:t>- Предвижда се демонтаж на обшивката с поцинкована ламарина на комините и подновяване с нова.</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2"/>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II.2.5) Критерии за възлагане</w:t>
                        </w:r>
                        <w:r w:rsidRPr="006C436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Критериите по-долу</w:t>
                              </w:r>
                            </w:p>
                          </w:tc>
                        </w:tr>
                      </w:tbl>
                      <w:p w:rsidR="006C436E" w:rsidRPr="006C436E" w:rsidRDefault="006C436E" w:rsidP="006C436E"/>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236"/>
                          <w:gridCol w:w="4450"/>
                        </w:tblGrid>
                        <w:tr w:rsidR="006C436E" w:rsidRPr="006C436E">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Критерий за качество: </w:t>
                              </w:r>
                              <w:r w:rsidRPr="006C436E">
                                <w:rPr>
                                  <w:vertAlign w:val="superscript"/>
                                </w:rPr>
                                <w:t>1</w:t>
                              </w:r>
                              <w:r w:rsidRPr="006C436E">
                                <w:t> </w:t>
                              </w:r>
                              <w:r w:rsidRPr="006C436E">
                                <w:rPr>
                                  <w:vertAlign w:val="superscript"/>
                                </w:rPr>
                                <w:t>2</w:t>
                              </w:r>
                              <w:r w:rsidRPr="006C436E">
                                <w:t> </w:t>
                              </w:r>
                              <w:r w:rsidRPr="006C436E">
                                <w:rPr>
                                  <w:vertAlign w:val="superscript"/>
                                </w:rPr>
                                <w:t>20</w:t>
                              </w:r>
                              <w:r w:rsidRPr="006C436E">
                                <w:t> 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Име: Качество на организация    Тежест: 40</w:t>
                              </w:r>
                            </w:p>
                          </w:tc>
                        </w:tr>
                        <w:tr w:rsidR="006C436E" w:rsidRPr="006C436E">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Цена</w:t>
                                    </w:r>
                                  </w:p>
                                </w:tc>
                              </w:tr>
                            </w:tbl>
                            <w:p w:rsidR="006C436E" w:rsidRPr="006C436E" w:rsidRDefault="006C436E" w:rsidP="006C436E"/>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436E" w:rsidRPr="006C436E" w:rsidRDefault="006C436E" w:rsidP="006C436E">
                              <w:r w:rsidRPr="006C436E">
                                <w:t>Тежест: </w:t>
                              </w:r>
                              <w:r w:rsidRPr="006C436E">
                                <w:rPr>
                                  <w:vertAlign w:val="superscript"/>
                                </w:rPr>
                                <w:t>21</w:t>
                              </w:r>
                              <w:r w:rsidRPr="006C436E">
                                <w:t> 60</w:t>
                              </w:r>
                            </w:p>
                          </w:tc>
                        </w:tr>
                      </w:tbl>
                      <w:p w:rsidR="006C436E" w:rsidRPr="006C436E" w:rsidRDefault="006C436E" w:rsidP="006C436E"/>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II.2.6) Прогнозна стойност</w:t>
                  </w:r>
                  <w:r w:rsidRPr="006C436E">
                    <w:br/>
                    <w:t>Стойност, без да се включва ДДС: 16600      Валута: BGN</w:t>
                  </w:r>
                  <w:r w:rsidRPr="006C436E">
                    <w:br/>
                  </w:r>
                  <w:r w:rsidRPr="006C436E">
                    <w:rPr>
                      <w:i/>
                      <w:iCs/>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II.2.7) Продължителност на поръчката, рамковото споразумение или динамичната система за покупки</w:t>
                  </w:r>
                  <w:r w:rsidRPr="006C436E">
                    <w:br/>
                    <w:t>Продължителност в дни: 45</w:t>
                  </w:r>
                  <w:r w:rsidRPr="006C436E">
                    <w:br/>
                  </w:r>
                  <w:r w:rsidRPr="006C436E">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r w:rsidRPr="006C436E">
                    <w:br/>
                    <w:t xml:space="preserve">Описание на </w:t>
                  </w:r>
                  <w:proofErr w:type="spellStart"/>
                  <w:r w:rsidRPr="006C436E">
                    <w:t>подновяванията</w:t>
                  </w:r>
                  <w:proofErr w:type="spellEnd"/>
                  <w:r w:rsidRPr="006C436E">
                    <w:t>:</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 xml:space="preserve">II.2.9) Информация относно ограничение за броя на </w:t>
                  </w:r>
                  <w:proofErr w:type="spellStart"/>
                  <w:r w:rsidRPr="006C436E">
                    <w:rPr>
                      <w:b/>
                      <w:bCs/>
                    </w:rPr>
                    <w:t>кадидатите</w:t>
                  </w:r>
                  <w:proofErr w:type="spellEnd"/>
                  <w:r w:rsidRPr="006C436E">
                    <w:rPr>
                      <w:b/>
                      <w:bCs/>
                    </w:rPr>
                    <w:t>, които ще бъдат поканени </w:t>
                  </w:r>
                  <w:r w:rsidRPr="006C436E">
                    <w:rPr>
                      <w:i/>
                      <w:iCs/>
                    </w:rPr>
                    <w:t>(с изключение на открити процедури)</w:t>
                  </w:r>
                  <w:r w:rsidRPr="006C436E">
                    <w:br/>
                    <w:t>Очакван брой кандидати:</w:t>
                  </w:r>
                  <w:r w:rsidRPr="006C436E">
                    <w:br/>
                  </w:r>
                  <w:r w:rsidRPr="006C436E">
                    <w:rPr>
                      <w:i/>
                      <w:iCs/>
                    </w:rPr>
                    <w:t>или</w:t>
                  </w:r>
                  <w:r w:rsidRPr="006C436E">
                    <w:t> Предвиден минимален брой:  </w:t>
                  </w:r>
                  <w:r w:rsidRPr="006C436E">
                    <w:rPr>
                      <w:i/>
                      <w:iCs/>
                    </w:rPr>
                    <w:t>/</w:t>
                  </w:r>
                  <w:r w:rsidRPr="006C436E">
                    <w:t> Максимален брой: (</w:t>
                  </w:r>
                  <w:r w:rsidRPr="006C436E">
                    <w:rPr>
                      <w:vertAlign w:val="superscript"/>
                    </w:rPr>
                    <w:t>2</w:t>
                  </w:r>
                  <w:r w:rsidRPr="006C436E">
                    <w:t>)</w:t>
                  </w:r>
                  <w:r w:rsidRPr="006C436E">
                    <w:br/>
                  </w:r>
                  <w:r w:rsidRPr="006C436E">
                    <w:lastRenderedPageBreak/>
                    <w:t xml:space="preserve">Обективни критерии за избор на ограничен брой </w:t>
                  </w:r>
                  <w:proofErr w:type="spellStart"/>
                  <w:r w:rsidRPr="006C436E">
                    <w:t>кандиадти</w:t>
                  </w:r>
                  <w:proofErr w:type="spellEnd"/>
                  <w:r w:rsidRPr="006C436E">
                    <w:t>:</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II.2.10) Информация относно вариантите</w:t>
                  </w:r>
                  <w:r w:rsidRPr="006C436E">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II.2.11) Информация относно опциите</w:t>
                  </w:r>
                  <w:r w:rsidRPr="006C436E">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r w:rsidRPr="006C436E">
                    <w:br/>
                    <w:t>Описание на опциите: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II.2.12) Информация относно електронни каталози</w:t>
                  </w:r>
                  <w:r w:rsidRPr="006C436E">
                    <w:br/>
                    <w:t>Офертите трябва да бъдат представени под формата на електронни каталози или да включват електронен каталог: НЕ</w:t>
                  </w:r>
                </w:p>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II.2.13) Информация относно средства от Европейския съюз</w:t>
                  </w:r>
                  <w:r w:rsidRPr="006C436E">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r>
            <w:tr w:rsidR="006C436E" w:rsidRPr="006C436E" w:rsidT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II.2.14) Допълнителна информация</w:t>
                  </w:r>
                  <w:r w:rsidRPr="006C436E">
                    <w:t>:</w:t>
                  </w:r>
                  <w:r w:rsidRPr="006C436E">
                    <w:br/>
                  </w:r>
                  <w:proofErr w:type="spellStart"/>
                  <w:r w:rsidRPr="006C436E">
                    <w:t>Възложителаят</w:t>
                  </w:r>
                  <w:proofErr w:type="spellEnd"/>
                  <w:r w:rsidRPr="006C436E">
                    <w:t xml:space="preserve"> определя срок за изпълнение на предмета на обособената позиция- минимален срок не по-кратък от 15 (петнадесет) календарни дни и максимален срок не по-дълъг от 45 (четиридесет и пет) календарни дни</w:t>
                  </w:r>
                </w:p>
              </w:tc>
            </w:tr>
          </w:tbl>
          <w:p w:rsidR="006C436E" w:rsidRPr="006C436E" w:rsidRDefault="006C436E" w:rsidP="006C436E"/>
        </w:tc>
      </w:tr>
    </w:tbl>
    <w:p w:rsidR="006C436E" w:rsidRPr="006C436E" w:rsidRDefault="006C436E" w:rsidP="006C436E">
      <w:pPr>
        <w:rPr>
          <w:b/>
          <w:bCs/>
        </w:rPr>
      </w:pPr>
      <w:r w:rsidRPr="006C436E">
        <w:rPr>
          <w:b/>
          <w:bCs/>
        </w:rPr>
        <w:lastRenderedPageBreak/>
        <w:t> Раздел III: Правна, икономическа, финансова и техническа информация </w:t>
      </w:r>
    </w:p>
    <w:p w:rsidR="006C436E" w:rsidRPr="006C436E" w:rsidRDefault="006C436E" w:rsidP="006C436E">
      <w:r w:rsidRPr="006C436E">
        <w:rPr>
          <w:b/>
          <w:bCs/>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6C436E">
              <w:t> </w:t>
            </w:r>
            <w:r w:rsidRPr="006C436E">
              <w:br/>
              <w:t>Списък и кратко описание на условията:</w:t>
            </w:r>
            <w:r w:rsidRPr="006C436E">
              <w:br/>
              <w:t>1. Изискване за вписване в професионален регистър: Участниците за Обособена позиция №1 в обществената поръчка трябва да са вписани в Централния професионален регистър на строителя (ЦПРС) към Камара на строителите в България (КСБ), за изпълнението на строежи 5-та категория, а за чуждестранните лица – регистрирани в аналогичен регистър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Pr="006C436E">
              <w:br/>
              <w:t>Участниците за Обособена позиция №2 в обществената поръчка трябва да са вписани в Централния професионален регистър на строителя (ЦПРС) към Камара на строителите в България (КСБ), за изпълнението на строежи 5-та категория, а за чуждестранните лица – в аналогичен регистър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Pr="006C436E">
              <w:br/>
              <w:t>Минимално ниво: Участникът следва да е вписан в Централния професионален регистър на строителя (ЦПРС) към Камарата на строителите в Р България, за изпълнението на строежи 5-та категория.</w:t>
            </w:r>
            <w:r w:rsidRPr="006C436E">
              <w:br/>
              <w:t xml:space="preserve">Удостоверяване: Обстоятелството се удостоверява с посочване в </w:t>
            </w:r>
            <w:proofErr w:type="spellStart"/>
            <w:r w:rsidRPr="006C436E">
              <w:t>еЕЕДОП</w:t>
            </w:r>
            <w:proofErr w:type="spellEnd"/>
            <w:r w:rsidRPr="006C436E">
              <w:t>, Част IV: Критерии за подбор, раздел А.Годност чрез изписване на данните за вписването в ЦПРС, респ. в аналогичен регистър, 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 (рег. номер и период на валидност) и обхвата на регистрацията (групата и категорията строежи, описани в него).</w:t>
            </w:r>
            <w:r w:rsidRPr="006C436E">
              <w:br/>
            </w:r>
            <w:r w:rsidRPr="006C436E">
              <w:lastRenderedPageBreak/>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6C436E">
              <w:br/>
              <w:t>Доказване на посоченото изискване:</w:t>
            </w:r>
            <w:r w:rsidRPr="006C436E">
              <w:br/>
              <w:t>При сключване на договора възложителят изисква копие на валидно Удостоверение за вписване в ЦПРС към Строителната камара, ведно с талон за валидност за съответната година, в която се изпълнява обекта.</w:t>
            </w:r>
            <w:r w:rsidRPr="006C436E">
              <w:b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държава.При сключване на договора възложителят не изисква документи, съобразно разпоредбата на чл. 112, ал. 9 от ЗОП.</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III.1.2) Икономическо и финансово състояние</w:t>
            </w:r>
            <w:r w:rsidRPr="006C436E">
              <w:t> </w:t>
            </w:r>
            <w:r w:rsidRPr="006C436E">
              <w:br/>
              <w:t>Критерии за подбор, както е указано в документацията за обществената поръчка: НЕ</w:t>
            </w:r>
            <w:r w:rsidRPr="006C436E">
              <w:br/>
              <w:t>Списък и кратко описание на критериите за подбор:</w:t>
            </w:r>
            <w:r w:rsidRPr="006C436E">
              <w:br/>
              <w:t>1. Изискване за реализиран минимален общ оборот:</w:t>
            </w:r>
            <w:r w:rsidRPr="006C436E">
              <w:br/>
              <w:t>Участникът за обособена позиция №1 трябва да е реализирал оборот от строително-монтажни работи, през последните 3 (три) приключили финансови години в зависимост от датата, на която участникът е създаден или е започнал дейността си, в размер не по-малък от прогнозната стойност за обособена позиция №1. За участник – чуждестранно лице оборотът се изчислява по официалния курс на БНБ за съответната валута в лева към датата на подаване на офертата.</w:t>
            </w:r>
            <w:r w:rsidRPr="006C436E">
              <w:br/>
              <w:t>Участникът за обособена позиция №2 трябва да е реализирал оборот от строително-монтажни работи, през последните 3 (три) приключили финансови години в зависимост от датата, на която участникът е създаден или е започнал дейността си, в размер не по-малък от прогнозната стойност за обособена позиция №1. За участник – чуждестранно лице оборотът се изчислява по официалния курс на БНБ за съответната валута в лева към датата на подаване на офертата.</w:t>
            </w:r>
            <w:r w:rsidRPr="006C436E">
              <w:br/>
              <w:t>Изискване за наличие на застраховка:</w:t>
            </w:r>
            <w:r w:rsidRPr="006C436E">
              <w:br/>
              <w:t>Участниците по Обособена позиция №1 следва да притежават валидна застраховка „Професионална отговорност в строителството“,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r w:rsidRPr="006C436E">
              <w:br/>
              <w:t>Участниците по Обособена позиция №2 следва да притежават валидна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r w:rsidRPr="006C436E">
              <w:br/>
              <w:t>Изисквано минимално/ни ниво/а:</w:t>
            </w:r>
            <w:r w:rsidRPr="006C436E">
              <w:rPr>
                <w:vertAlign w:val="superscript"/>
              </w:rPr>
              <w:t>2</w:t>
            </w:r>
            <w:r w:rsidRPr="006C436E">
              <w:br/>
              <w:t xml:space="preserve">ДОКАЗВАНЕ: При подаване на офертата участникът декларира съответствие с поставеното изискване, като попълва част IV, раздел Б, т.2a) от ЕЕДОП. При условията на чл. 67, ал. 5 от ЗОП възложителят може да изиска док., ч/з които се доказва декларираната в ЕЕДОП </w:t>
            </w:r>
            <w:proofErr w:type="spellStart"/>
            <w:r w:rsidRPr="006C436E">
              <w:t>инф-я</w:t>
            </w:r>
            <w:proofErr w:type="spellEnd"/>
            <w:r w:rsidRPr="006C436E">
              <w:t xml:space="preserve">: Справка за оборота от стр. монтажни работи за последните 3 (три) приключили финансови години, в зависимост от датата на която участникът е учреден или е започнал дейността си. При условията </w:t>
            </w:r>
            <w:proofErr w:type="spellStart"/>
            <w:r w:rsidRPr="006C436E">
              <w:t>начл</w:t>
            </w:r>
            <w:proofErr w:type="spellEnd"/>
            <w:r w:rsidRPr="006C436E">
              <w:t>. 67, ал. 6 от ЗОП, преди сключване на договора, определения изпълнител представя документите по предходното изречение (ако не са били представени по реда на чл. 67, ал. 5 от ЗОП).При участие на обединения, които не са юридически лица, съответствието с критерия за подбор се доказва от обединението участник като цяло.Забележка: Съгласно § 2, т. 66 от ДР на ЗОП “годишен общ оборот“ е сумата от нетните приходи от продажби по смисъла на Закона за счетоводството.</w:t>
            </w:r>
            <w:r w:rsidRPr="006C436E">
              <w:br/>
              <w:t>Участниците в Обособена позиция №1 трябва за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 в размер на - 77 000.00лв.(седемдесет и седем хиляди лева) без ДДС, съответно 92 400.00 ( деветдесет и две хиляди и четиристотин лева) с вкл.ДДС.</w:t>
            </w:r>
            <w:r w:rsidRPr="006C436E">
              <w:br/>
              <w:t xml:space="preserve">Участниците в Обособена позиция №2 трябва за последните 3 (три) приключили финансови години, в зависимост от датата, на която са създадени или са започнали дейността да са реализирали мин. общ оборот в размер на 16 600.00 лв.(шестнадесет хиляди и </w:t>
            </w:r>
            <w:proofErr w:type="spellStart"/>
            <w:r w:rsidRPr="006C436E">
              <w:t>шестотин</w:t>
            </w:r>
            <w:proofErr w:type="spellEnd"/>
            <w:r w:rsidRPr="006C436E">
              <w:t xml:space="preserve"> лева) без ДДС, съответно 19 920.00лв. (деветнадесет хиляди деветстотин и двадесет лева) с вкл.ДДС.</w:t>
            </w:r>
            <w:r w:rsidRPr="006C436E">
              <w:br/>
              <w:t>Участникът по ОП №1 да е застрахован със застраховка „Професионална отговорност“ за „строител“ за застрахователно събитие на стойност съобразно чл. 5, ал. 2, т. 5 от Наредбата за условията и реда за задължително застраховане в проектирането и строителството (най-малко за пета категория съгласно чл.137, ал.1, т.5 от ЗУТ в съответствие с чл.5, ал.2, т.5 от Наредбата за условията и реда за задължително застраховане в проектирането и строителството (</w:t>
            </w:r>
            <w:proofErr w:type="spellStart"/>
            <w:r w:rsidRPr="006C436E">
              <w:t>обн</w:t>
            </w:r>
            <w:proofErr w:type="spellEnd"/>
            <w:r w:rsidRPr="006C436E">
              <w:t>.,ДВ бр.17 от 02.03.2004г.), т.е. не по-малък от 70 000 (седемдесет хиляди) лева.</w:t>
            </w:r>
            <w:r w:rsidRPr="006C436E">
              <w:br/>
              <w:t>Участникът по ОП №2 да е застрахован със застраховка „Професионална отговорност“ за „строител“ за застрахователно събитие на стойност съобразно чл. 5, ал. 2, т. 5 от Наредбата за условията и реда за задължително застраховане в проектирането и строителството (най-малко за пета категория съгласно чл.137, ал.1, т.5 от ЗУТ в съответствие с чл.5, ал.2, т.5 от Наредбата за условията и реда за задължително застраховане в проектирането и строителството (</w:t>
            </w:r>
            <w:proofErr w:type="spellStart"/>
            <w:r w:rsidRPr="006C436E">
              <w:t>обн</w:t>
            </w:r>
            <w:proofErr w:type="spellEnd"/>
            <w:r w:rsidRPr="006C436E">
              <w:t>.,ДВ бр.17 от 02.03.2004г.), т.е. не по-малък от 70 000 (седемдесет хиляди) лева.</w:t>
            </w:r>
            <w:r w:rsidRPr="006C436E">
              <w:br/>
              <w:t>Удостоверяване:</w:t>
            </w:r>
            <w:r w:rsidRPr="006C436E">
              <w:br/>
            </w:r>
            <w:r w:rsidRPr="006C436E">
              <w:lastRenderedPageBreak/>
              <w:t xml:space="preserve">При подаване на офертата обстоятелството се декларира в </w:t>
            </w:r>
            <w:proofErr w:type="spellStart"/>
            <w:r w:rsidRPr="006C436E">
              <w:t>еЕЕДОП</w:t>
            </w:r>
            <w:proofErr w:type="spellEnd"/>
            <w:r w:rsidRPr="006C436E">
              <w:t>, Част IV: Критерии за подбор, раздел, Б.Икономическо и финансово състояние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застрахованата дейност и срок на валидност)за наличие на валидна застраховка за „Професионална отговорност“ по чл.171 ал.1 от ЗУТ за „строител“, при лимит на отговорността, съгласно чл.5, ал.2, т. 5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w:t>
            </w:r>
            <w:r w:rsidRPr="006C436E">
              <w:br/>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6C436E">
              <w:br/>
              <w:t xml:space="preserve">За доказване съответствието с това изискване, преди сключването на договор, участ.следва да представи заверено копие на валидна </w:t>
            </w:r>
            <w:proofErr w:type="spellStart"/>
            <w:r w:rsidRPr="006C436E">
              <w:t>застр</w:t>
            </w:r>
            <w:proofErr w:type="spellEnd"/>
            <w:r w:rsidRPr="006C436E">
              <w:t>.полица Проф.отговорност в строителството.</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III.1.3) Технически и професионални възможности</w:t>
            </w:r>
            <w:r w:rsidRPr="006C436E">
              <w:t> </w:t>
            </w:r>
            <w:r w:rsidRPr="006C436E">
              <w:br/>
              <w:t>Критерии за подбор, както е указано в документацията за обществената поръчка: НЕ</w:t>
            </w:r>
            <w:r w:rsidRPr="006C436E">
              <w:br/>
              <w:t>Списък и кратко описание на критериите за подбор:</w:t>
            </w:r>
            <w:r w:rsidRPr="006C436E">
              <w:br/>
              <w:t>Участникът следва да е изпълнил дейности с предмет и обем, идентични или сходни с тези на поръчката.</w:t>
            </w:r>
            <w:r w:rsidRPr="006C436E">
              <w:br/>
              <w:t xml:space="preserve">Участникът трябва да разполага минимум с ръководен екип с определена професионална </w:t>
            </w:r>
            <w:proofErr w:type="spellStart"/>
            <w:r w:rsidRPr="006C436E">
              <w:t>компет</w:t>
            </w:r>
            <w:proofErr w:type="spellEnd"/>
            <w:r w:rsidRPr="006C436E">
              <w:t>. за изпълнението на поръчката.</w:t>
            </w:r>
            <w:r w:rsidRPr="006C436E">
              <w:br/>
              <w:t xml:space="preserve">ОП 1:Технически ръководител(1 бр.): Професионална </w:t>
            </w:r>
            <w:proofErr w:type="spellStart"/>
            <w:r w:rsidRPr="006C436E">
              <w:t>квалиф</w:t>
            </w:r>
            <w:proofErr w:type="spellEnd"/>
            <w:r w:rsidRPr="006C436E">
              <w:t>: да притежава висше образование с квалификация "стр. инженер" или "архитект" или „стр. техник” средно образование с четиригодишен курс на обучение и придобита професионална квалификация в областите "Архитектура и строителство" и или еквивалентни, професионален опит: минимум 5 /пет/ години стаж по специалността.</w:t>
            </w:r>
            <w:r w:rsidRPr="006C436E">
              <w:br/>
              <w:t xml:space="preserve">Професионален опит: Опит като </w:t>
            </w:r>
            <w:proofErr w:type="spellStart"/>
            <w:r w:rsidRPr="006C436E">
              <w:t>технич</w:t>
            </w:r>
            <w:proofErr w:type="spellEnd"/>
            <w:r w:rsidRPr="006C436E">
              <w:t xml:space="preserve">. ръководител при изграждане на минимум един обект в </w:t>
            </w:r>
            <w:proofErr w:type="spellStart"/>
            <w:r w:rsidRPr="006C436E">
              <w:t>строит</w:t>
            </w:r>
            <w:proofErr w:type="spellEnd"/>
            <w:r w:rsidRPr="006C436E">
              <w:t>.</w:t>
            </w:r>
            <w:r w:rsidRPr="006C436E">
              <w:br/>
              <w:t>Специалист по контрол на качеството/ отговорник по качеството (1 бр.) –</w:t>
            </w:r>
            <w:r w:rsidRPr="006C436E">
              <w:br/>
              <w:t xml:space="preserve">Професионална </w:t>
            </w:r>
            <w:proofErr w:type="spellStart"/>
            <w:r w:rsidRPr="006C436E">
              <w:t>квалиф</w:t>
            </w:r>
            <w:proofErr w:type="spellEnd"/>
            <w:r w:rsidRPr="006C436E">
              <w:t xml:space="preserve">.: да притежава валиден документ за преминато обучение за контрол на качеството на изпълнение в строителството и за контрол на съответствието на стр. продукти със съществените </w:t>
            </w:r>
            <w:proofErr w:type="spellStart"/>
            <w:r w:rsidRPr="006C436E">
              <w:t>изизсквания</w:t>
            </w:r>
            <w:proofErr w:type="spellEnd"/>
            <w:r w:rsidRPr="006C436E">
              <w:t xml:space="preserve"> за безопасност или за чуждестранни лица еквивалентен документ, съгласно законодателството на държавата, в която са установени.</w:t>
            </w:r>
            <w:r w:rsidRPr="006C436E">
              <w:br/>
              <w:t>Професионален опит: да е участвал на подобна позиция при изграждане на минимум един обект в строителството</w:t>
            </w:r>
            <w:r w:rsidRPr="006C436E">
              <w:br/>
              <w:t>Експерт координатор по безопасност и здраве (КБЗ) (1 бр.)</w:t>
            </w:r>
            <w:r w:rsidRPr="006C436E">
              <w:br/>
              <w:t>Професионална квалификация: да притежава валидно удостоверение за Длъжностно лице по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w:t>
            </w:r>
            <w:proofErr w:type="spellStart"/>
            <w:r w:rsidRPr="006C436E">
              <w:t>Професионелен</w:t>
            </w:r>
            <w:proofErr w:type="spellEnd"/>
            <w:r w:rsidRPr="006C436E">
              <w:t xml:space="preserve"> опит: да е участвал в подобна позиция при изграждане на минимум един обект в строителството</w:t>
            </w:r>
            <w:r w:rsidRPr="006C436E">
              <w:br/>
              <w:t>ОП 2:Технически ръководител(1 бр.):</w:t>
            </w:r>
            <w:r w:rsidRPr="006C436E">
              <w:br/>
              <w:t>Професионална квалификация: да притежава висше образование с квалификация "строителен инженер" или "архитект" или „строителен техник” средно образование с четиригодишен курс на обучение и придобита професионална квалификация в областите "Архитектура и строителство" и или еквивалентни, професионален опит: минимум 5 /пет/ години стаж по специалността.</w:t>
            </w:r>
            <w:r w:rsidRPr="006C436E">
              <w:br/>
              <w:t>Специалист по контрол на качеството/ отговорник по качеството (1 бр.) –</w:t>
            </w:r>
            <w:r w:rsidRPr="006C436E">
              <w:br/>
              <w:t xml:space="preserve">Професионална квалификация: да притежава валиден документ за преминато обучение за контрол на качеството на изпълнение в строителството и за контрол на съответствието на строителните продукти със съществените </w:t>
            </w:r>
            <w:proofErr w:type="spellStart"/>
            <w:r w:rsidRPr="006C436E">
              <w:t>изизсквания</w:t>
            </w:r>
            <w:proofErr w:type="spellEnd"/>
            <w:r w:rsidRPr="006C436E">
              <w:t xml:space="preserve"> за безопасност или за чуждестранни лица еквивалентен документ, съгласно законодателството на държавата, в която са установени.</w:t>
            </w:r>
            <w:r w:rsidRPr="006C436E">
              <w:br/>
              <w:t>Професионален опит: да е участвал на подобна позиция при изграждане на минимум един обект в строителството</w:t>
            </w:r>
            <w:r w:rsidRPr="006C436E">
              <w:br/>
              <w:t>Експерт координатор по безопасност и здраве 1 бр.</w:t>
            </w:r>
            <w:r w:rsidRPr="006C436E">
              <w:br/>
              <w:t xml:space="preserve">Професионална квалификация: да притежава валидно </w:t>
            </w:r>
            <w:proofErr w:type="spellStart"/>
            <w:r w:rsidRPr="006C436E">
              <w:t>удост</w:t>
            </w:r>
            <w:proofErr w:type="spellEnd"/>
            <w:r w:rsidRPr="006C436E">
              <w:t xml:space="preserve">. за Длъжностно лице по </w:t>
            </w:r>
            <w:proofErr w:type="spellStart"/>
            <w:r w:rsidRPr="006C436E">
              <w:t>безоп</w:t>
            </w:r>
            <w:proofErr w:type="spellEnd"/>
            <w:r w:rsidRPr="006C436E">
              <w:t xml:space="preserve"> и здраве в строителството, </w:t>
            </w:r>
            <w:proofErr w:type="spellStart"/>
            <w:r w:rsidRPr="006C436E">
              <w:t>съгл</w:t>
            </w:r>
            <w:proofErr w:type="spellEnd"/>
            <w:r w:rsidRPr="006C436E">
              <w:t xml:space="preserve"> Наредба № РД-07-2 от 16.12.2009 г. за </w:t>
            </w:r>
            <w:proofErr w:type="spellStart"/>
            <w:r w:rsidRPr="006C436E">
              <w:t>усл-та</w:t>
            </w:r>
            <w:proofErr w:type="spellEnd"/>
            <w:r w:rsidRPr="006C436E">
              <w:t xml:space="preserve"> и реда за провеждането на периодично обучение и </w:t>
            </w:r>
            <w:proofErr w:type="spellStart"/>
            <w:r w:rsidRPr="006C436E">
              <w:t>инстр</w:t>
            </w:r>
            <w:proofErr w:type="spellEnd"/>
            <w:r w:rsidRPr="006C436E">
              <w:t xml:space="preserve">.на раб и </w:t>
            </w:r>
            <w:proofErr w:type="spellStart"/>
            <w:r w:rsidRPr="006C436E">
              <w:t>служ</w:t>
            </w:r>
            <w:proofErr w:type="spellEnd"/>
            <w:r w:rsidRPr="006C436E">
              <w:t xml:space="preserve">.по правил за </w:t>
            </w:r>
            <w:proofErr w:type="spellStart"/>
            <w:r w:rsidRPr="006C436E">
              <w:t>осиг</w:t>
            </w:r>
            <w:proofErr w:type="spellEnd"/>
            <w:r w:rsidRPr="006C436E">
              <w:t xml:space="preserve"> на здрав.и </w:t>
            </w:r>
            <w:proofErr w:type="spellStart"/>
            <w:r w:rsidRPr="006C436E">
              <w:t>безоп</w:t>
            </w:r>
            <w:proofErr w:type="spellEnd"/>
            <w:r w:rsidRPr="006C436E">
              <w:t>.</w:t>
            </w:r>
            <w:proofErr w:type="spellStart"/>
            <w:r w:rsidRPr="006C436E">
              <w:t>усл</w:t>
            </w:r>
            <w:proofErr w:type="spellEnd"/>
            <w:r w:rsidRPr="006C436E">
              <w:t>. на труд или еквивалент</w:t>
            </w:r>
            <w:r w:rsidRPr="006C436E">
              <w:br/>
              <w:t>Изисквано минимално/ни ниво/а:</w:t>
            </w:r>
            <w:r w:rsidRPr="006C436E">
              <w:rPr>
                <w:vertAlign w:val="superscript"/>
              </w:rPr>
              <w:t>2</w:t>
            </w:r>
            <w:r w:rsidRPr="006C436E">
              <w:br/>
              <w:t>През последните 5 (пет) години, считано от датата на подаване на офертата, участникът по Обособена позиция №1 следва да е изпълнил строителни дейности (на един или няколко обекта) с предмет и обем, идентични или сходни с тези на обособената позиция.</w:t>
            </w:r>
            <w:r w:rsidRPr="006C436E">
              <w:br/>
              <w:t>През последните 5 (пет) години, считано от датата на подаване на офертата, участникът по Обособена позиция №2 следва да е изпълнил строителни дейности (на един или няколко обекта) с предмет и обем, идентични или сходни с тези на обособената позиция.</w:t>
            </w:r>
            <w:r w:rsidRPr="006C436E">
              <w:br/>
              <w:t>За „строителни дейности с предмет и обем, идентични или сходни с тези на поръчката“ се приемат строителни дейности (на един или няколко обекта)за ОП 1 и ОП 2 по изграждане и/или доизграждане и/или реконструкция и/или основен ремонт на сгради, представляващи пета категория строежи, съгласно чл.137 от ЗУТ.</w:t>
            </w:r>
            <w:r w:rsidRPr="006C436E">
              <w:br/>
              <w:t>Един експерт МОЖЕ да съвместява повече от ЕДНА позиции от изискуемия ръководен състав за изпълнение на поръчката.</w:t>
            </w:r>
            <w:r w:rsidRPr="006C436E">
              <w:br/>
            </w:r>
            <w:r w:rsidRPr="006C436E">
              <w:lastRenderedPageBreak/>
              <w:t xml:space="preserve">Обстоятелството се декларира в Част IV, Раздел В „Технически и професионални способности“ от </w:t>
            </w:r>
            <w:proofErr w:type="spellStart"/>
            <w:r w:rsidRPr="006C436E">
              <w:t>еЕЕДОП</w:t>
            </w:r>
            <w:proofErr w:type="spellEnd"/>
            <w:r w:rsidRPr="006C436E">
              <w:t xml:space="preserve"> с посочване на информация за професионалната компетентност на лицата</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III.1.5) Информация относно запазени поръчки</w:t>
            </w:r>
            <w:r w:rsidRPr="006C436E">
              <w:t> </w:t>
            </w:r>
            <w:r w:rsidRPr="006C436E">
              <w:rPr>
                <w:vertAlign w:val="superscript"/>
              </w:rPr>
              <w:t>2</w:t>
            </w:r>
            <w:r w:rsidRPr="006C436E">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НЕ</w:t>
            </w:r>
            <w:r w:rsidRPr="006C436E">
              <w:br/>
              <w:t>Изпълнението на поръчката е ограничено в рамките на програми за създаване на защитени работни места: НЕ</w:t>
            </w:r>
          </w:p>
        </w:tc>
      </w:tr>
    </w:tbl>
    <w:p w:rsidR="006C436E" w:rsidRPr="006C436E" w:rsidRDefault="006C436E" w:rsidP="006C436E">
      <w:r w:rsidRPr="006C436E">
        <w:rPr>
          <w:b/>
          <w:bCs/>
        </w:rPr>
        <w:t>III.2) Условия във връзка с поръчката </w:t>
      </w:r>
      <w:r w:rsidRPr="006C436E">
        <w:rPr>
          <w:b/>
          <w:bCs/>
          <w:vertAlign w:val="superscript"/>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III.2.1) Информация относно определена професия</w:t>
            </w:r>
            <w:r w:rsidRPr="006C436E">
              <w:t> </w:t>
            </w:r>
            <w:r w:rsidRPr="006C436E">
              <w:rPr>
                <w:i/>
                <w:iCs/>
              </w:rPr>
              <w:t>(само за поръчки за услуги)</w:t>
            </w:r>
            <w:r w:rsidRPr="006C436E">
              <w:br/>
            </w:r>
            <w:proofErr w:type="spellStart"/>
            <w:r w:rsidRPr="006C436E">
              <w:t>Изпълненито</w:t>
            </w:r>
            <w:proofErr w:type="spellEnd"/>
            <w:r w:rsidRPr="006C436E">
              <w:t xml:space="preserve"> на поръчката е ограничено до определена професия: НЕ</w:t>
            </w:r>
            <w:r w:rsidRPr="006C436E">
              <w:br/>
              <w:t>Позоваване на приложимата законова, подзаконова или административна разпоредба:</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III.2.2) Условия за изпълнение на поръчката</w:t>
            </w:r>
            <w:r w:rsidRPr="006C436E">
              <w:t>:</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III.2.3) Информация относно персонала, който отговаря за изпълнението на поръчката</w:t>
            </w:r>
            <w:r w:rsidRPr="006C436E">
              <w:br/>
              <w:t>Задължение за посочване на имената и професионалните квалификации на персонала, който отговаря за изпълнението на поръчката: НЕ</w:t>
            </w:r>
          </w:p>
        </w:tc>
      </w:tr>
    </w:tbl>
    <w:p w:rsidR="006C436E" w:rsidRPr="006C436E" w:rsidRDefault="006C436E" w:rsidP="006C436E">
      <w:pPr>
        <w:rPr>
          <w:b/>
          <w:bCs/>
        </w:rPr>
      </w:pPr>
      <w:r w:rsidRPr="006C436E">
        <w:rPr>
          <w:b/>
          <w:bCs/>
        </w:rPr>
        <w:t> Раздел IV:Процедура </w:t>
      </w:r>
    </w:p>
    <w:p w:rsidR="006C436E" w:rsidRPr="006C436E" w:rsidRDefault="006C436E" w:rsidP="006C436E">
      <w:r w:rsidRPr="006C436E">
        <w:rPr>
          <w:b/>
          <w:bCs/>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1"/>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pPr>
                          <w:rPr>
                            <w:b/>
                            <w:bCs/>
                          </w:rPr>
                        </w:pPr>
                        <w:r w:rsidRPr="006C436E">
                          <w:rPr>
                            <w:b/>
                            <w:bCs/>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5"/>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Публично състезание</w:t>
                              </w:r>
                            </w:p>
                          </w:tc>
                        </w:tr>
                      </w:tbl>
                      <w:p w:rsidR="006C436E" w:rsidRPr="006C436E" w:rsidRDefault="006C436E" w:rsidP="006C436E">
                        <w:pPr>
                          <w:rPr>
                            <w:b/>
                            <w:bCs/>
                          </w:rPr>
                        </w:pPr>
                      </w:p>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Ускорена процедура: НЕ</w:t>
                        </w:r>
                        <w:r w:rsidRPr="006C436E">
                          <w:br/>
                          <w:t>Обосновка за избор на ускорена процедура:</w:t>
                        </w:r>
                      </w:p>
                    </w:tc>
                  </w:tr>
                </w:tbl>
                <w:p w:rsidR="006C436E" w:rsidRPr="006C436E" w:rsidRDefault="006C436E" w:rsidP="006C436E"/>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 xml:space="preserve">IV.1.3) Информация относно рамково </w:t>
            </w:r>
            <w:proofErr w:type="spellStart"/>
            <w:r w:rsidRPr="006C436E">
              <w:rPr>
                <w:b/>
                <w:bCs/>
              </w:rPr>
              <w:t>споразмение</w:t>
            </w:r>
            <w:proofErr w:type="spellEnd"/>
            <w:r w:rsidRPr="006C436E">
              <w:rPr>
                <w:b/>
                <w:bCs/>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4"/>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Тази обществена поръчка обхваща сключването на рамково споразумение: НЕ</w:t>
                  </w:r>
                </w:p>
                <w:p w:rsidR="006C436E" w:rsidRPr="006C436E" w:rsidRDefault="006C436E" w:rsidP="006C436E">
                  <w:r w:rsidRPr="006C436E">
                    <w:t>    Предвиден максимален брой участници в рамковото споразумение: </w:t>
                  </w:r>
                  <w:r w:rsidRPr="006C436E">
                    <w:rPr>
                      <w:vertAlign w:val="superscript"/>
                    </w:rPr>
                    <w:t>2</w:t>
                  </w:r>
                  <w:r w:rsidRPr="006C436E">
                    <w:br/>
                    <w:t>  В случай на рамкови споразумения - обосноваване на срока, чиято продължителност надвишава четири години:</w:t>
                  </w:r>
                </w:p>
              </w:tc>
            </w:tr>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br/>
                    <w:t>Тази обществена поръчка обхваща създаването на динамична система за покупки: НЕ</w:t>
                  </w:r>
                </w:p>
                <w:p w:rsidR="006C436E" w:rsidRPr="006C436E" w:rsidRDefault="006C436E" w:rsidP="006C436E">
                  <w:r w:rsidRPr="006C436E">
                    <w:t>Динамичната система за покупки може да бъде използвана от допълнителни купувачи: НЕ</w:t>
                  </w:r>
                </w:p>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lastRenderedPageBreak/>
              <w:t>IV.1.4) Информация относно намаляване на броя на решенията или офертите по време на договарянето или на диалога</w:t>
            </w:r>
          </w:p>
          <w:p w:rsidR="006C436E" w:rsidRPr="006C436E" w:rsidRDefault="006C436E" w:rsidP="006C436E">
            <w:r w:rsidRPr="006C436E">
              <w:t>Прилагане на поетапна процедура за постепенно намаляване на броя на обсъжданите решения или на договаряните оферти: НЕ</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IV.1.5) Информация относно договаряне </w:t>
            </w:r>
            <w:r w:rsidRPr="006C436E">
              <w:rPr>
                <w:i/>
                <w:iCs/>
              </w:rPr>
              <w:t>(само за състезателни процедури с договаряне)</w:t>
            </w:r>
          </w:p>
          <w:p w:rsidR="006C436E" w:rsidRPr="006C436E" w:rsidRDefault="006C436E" w:rsidP="006C436E">
            <w:r w:rsidRPr="006C436E">
              <w:t>Възлагащият орган си запазва правото да възложи поръчката въз основа на първоначалните оферти, без да провежда преговори: НЕ</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IV.1.6) Информация относно електронния търг</w:t>
            </w:r>
          </w:p>
          <w:p w:rsidR="006C436E" w:rsidRPr="006C436E" w:rsidRDefault="006C436E" w:rsidP="006C436E">
            <w:r w:rsidRPr="006C436E">
              <w:t>Ще се използва електронен търг: НЕ</w:t>
            </w:r>
            <w:r w:rsidRPr="006C436E">
              <w:br/>
              <w:t>Допълнителна информация относно електронния търг:</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1"/>
            </w:tblGrid>
            <w:tr w:rsidR="006C436E" w:rsidRPr="006C436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tc>
            </w:tr>
          </w:tbl>
          <w:p w:rsidR="006C436E" w:rsidRPr="006C436E" w:rsidRDefault="006C436E" w:rsidP="006C436E"/>
        </w:tc>
      </w:tr>
    </w:tbl>
    <w:p w:rsidR="006C436E" w:rsidRPr="006C436E" w:rsidRDefault="006C436E" w:rsidP="006C436E">
      <w:r w:rsidRPr="006C436E">
        <w:rPr>
          <w:b/>
          <w:bCs/>
        </w:rPr>
        <w:t>IV.2) Административна информация</w:t>
      </w:r>
      <w:r w:rsidRPr="006C436E">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IV.2.1) Предишна публикация относно тази процедура </w:t>
            </w:r>
            <w:r w:rsidRPr="006C436E">
              <w:rPr>
                <w:vertAlign w:val="superscript"/>
              </w:rPr>
              <w:t>2</w:t>
            </w:r>
          </w:p>
          <w:p w:rsidR="006C436E" w:rsidRPr="006C436E" w:rsidRDefault="006C436E" w:rsidP="006C436E">
            <w:r w:rsidRPr="006C436E">
              <w:t>Номер на обявлението в ОВ на ЕС:</w:t>
            </w:r>
            <w:r w:rsidRPr="006C436E">
              <w:br/>
            </w:r>
            <w:r w:rsidRPr="006C436E">
              <w:rPr>
                <w:i/>
                <w:iCs/>
              </w:rPr>
              <w:t>(Едно от следните: Обявление за предварителна информация; Обявление на профила на купувача)</w:t>
            </w:r>
            <w:r w:rsidRPr="006C436E">
              <w:br/>
              <w:t>Номер на обявлението в РОП:</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IV.2.2) Срок за получаване на оферти или на заявления за участие</w:t>
            </w:r>
          </w:p>
          <w:p w:rsidR="006C436E" w:rsidRPr="006C436E" w:rsidRDefault="006C436E" w:rsidP="006C436E">
            <w:r w:rsidRPr="006C436E">
              <w:t>Дата: 13/04/2020 </w:t>
            </w:r>
            <w:r w:rsidRPr="006C436E">
              <w:rPr>
                <w:i/>
                <w:iCs/>
              </w:rPr>
              <w:t>(</w:t>
            </w:r>
            <w:proofErr w:type="spellStart"/>
            <w:r w:rsidRPr="006C436E">
              <w:rPr>
                <w:i/>
                <w:iCs/>
              </w:rPr>
              <w:t>дд</w:t>
            </w:r>
            <w:proofErr w:type="spellEnd"/>
            <w:r w:rsidRPr="006C436E">
              <w:rPr>
                <w:i/>
                <w:iCs/>
              </w:rPr>
              <w:t>/мм/</w:t>
            </w:r>
            <w:proofErr w:type="spellStart"/>
            <w:r w:rsidRPr="006C436E">
              <w:rPr>
                <w:i/>
                <w:iCs/>
              </w:rPr>
              <w:t>гггг</w:t>
            </w:r>
            <w:proofErr w:type="spellEnd"/>
            <w:r w:rsidRPr="006C436E">
              <w:rPr>
                <w:i/>
                <w:iCs/>
              </w:rPr>
              <w:t>)</w:t>
            </w:r>
            <w:r w:rsidRPr="006C436E">
              <w:t>   Местно време: 17:00 </w:t>
            </w:r>
            <w:r w:rsidRPr="006C436E">
              <w:rPr>
                <w:i/>
                <w:iCs/>
              </w:rPr>
              <w:t>(</w:t>
            </w:r>
            <w:proofErr w:type="spellStart"/>
            <w:r w:rsidRPr="006C436E">
              <w:rPr>
                <w:i/>
                <w:iCs/>
              </w:rPr>
              <w:t>чч</w:t>
            </w:r>
            <w:proofErr w:type="spellEnd"/>
            <w:r w:rsidRPr="006C436E">
              <w:rPr>
                <w:i/>
                <w:iCs/>
              </w:rPr>
              <w:t>:мм)</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IV.2.3) Прогнозна дата на изпращане на покани за търг или за участие на избраните кандидати </w:t>
            </w:r>
            <w:r w:rsidRPr="006C436E">
              <w:rPr>
                <w:vertAlign w:val="superscript"/>
              </w:rPr>
              <w:t>4</w:t>
            </w:r>
          </w:p>
          <w:p w:rsidR="006C436E" w:rsidRPr="006C436E" w:rsidRDefault="006C436E" w:rsidP="006C436E">
            <w:r w:rsidRPr="006C436E">
              <w:t>Дата:    </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IV.2.4) Езици, на които могат да бъдат подадени офертите или заявленията за участие: </w:t>
            </w:r>
            <w:r w:rsidRPr="006C436E">
              <w:rPr>
                <w:vertAlign w:val="superscript"/>
              </w:rPr>
              <w:t>1</w:t>
            </w:r>
            <w:r w:rsidRPr="006C436E">
              <w:t>  BG</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 xml:space="preserve">IV.2.6) Минимален срок, през който </w:t>
            </w:r>
            <w:proofErr w:type="spellStart"/>
            <w:r w:rsidRPr="006C436E">
              <w:rPr>
                <w:b/>
                <w:bCs/>
              </w:rPr>
              <w:t>оферентът</w:t>
            </w:r>
            <w:proofErr w:type="spellEnd"/>
            <w:r w:rsidRPr="006C436E">
              <w:rPr>
                <w:b/>
                <w:bCs/>
              </w:rPr>
              <w:t xml:space="preserve"> е обвързан от офертата</w:t>
            </w:r>
          </w:p>
          <w:p w:rsidR="006C436E" w:rsidRPr="006C436E" w:rsidRDefault="006C436E" w:rsidP="006C436E">
            <w:r w:rsidRPr="006C436E">
              <w:t>Офертата трябва да бъде валидна до:</w:t>
            </w:r>
            <w:r w:rsidRPr="006C436E">
              <w:br/>
            </w:r>
            <w:r w:rsidRPr="006C436E">
              <w:rPr>
                <w:i/>
                <w:iCs/>
              </w:rPr>
              <w:t>или </w:t>
            </w:r>
            <w:r w:rsidRPr="006C436E">
              <w:t>Продължителност в месеци: 6</w:t>
            </w:r>
          </w:p>
          <w:p w:rsidR="00000000" w:rsidRPr="006C436E" w:rsidRDefault="006C436E" w:rsidP="006C436E">
            <w:r w:rsidRPr="006C436E">
              <w:t>(от датата, която е посочена за дата на получаване на офертата)</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IV.2.7) Условия за отваряне на офертите</w:t>
            </w:r>
          </w:p>
          <w:p w:rsidR="006C436E" w:rsidRPr="006C436E" w:rsidRDefault="006C436E" w:rsidP="006C436E">
            <w:r w:rsidRPr="006C436E">
              <w:lastRenderedPageBreak/>
              <w:t>Дата: 14/04/2020 </w:t>
            </w:r>
            <w:r w:rsidRPr="006C436E">
              <w:rPr>
                <w:i/>
                <w:iCs/>
              </w:rPr>
              <w:t>(</w:t>
            </w:r>
            <w:proofErr w:type="spellStart"/>
            <w:r w:rsidRPr="006C436E">
              <w:rPr>
                <w:i/>
                <w:iCs/>
              </w:rPr>
              <w:t>дд</w:t>
            </w:r>
            <w:proofErr w:type="spellEnd"/>
            <w:r w:rsidRPr="006C436E">
              <w:rPr>
                <w:i/>
                <w:iCs/>
              </w:rPr>
              <w:t>/мм/</w:t>
            </w:r>
            <w:proofErr w:type="spellStart"/>
            <w:r w:rsidRPr="006C436E">
              <w:rPr>
                <w:i/>
                <w:iCs/>
              </w:rPr>
              <w:t>гггг</w:t>
            </w:r>
            <w:proofErr w:type="spellEnd"/>
            <w:r w:rsidRPr="006C436E">
              <w:rPr>
                <w:i/>
                <w:iCs/>
              </w:rPr>
              <w:t>)</w:t>
            </w:r>
            <w:r w:rsidRPr="006C436E">
              <w:t>   Местно време: 10:00 </w:t>
            </w:r>
            <w:r w:rsidRPr="006C436E">
              <w:rPr>
                <w:i/>
                <w:iCs/>
              </w:rPr>
              <w:t>(</w:t>
            </w:r>
            <w:proofErr w:type="spellStart"/>
            <w:r w:rsidRPr="006C436E">
              <w:rPr>
                <w:i/>
                <w:iCs/>
              </w:rPr>
              <w:t>чч</w:t>
            </w:r>
            <w:proofErr w:type="spellEnd"/>
            <w:r w:rsidRPr="006C436E">
              <w:rPr>
                <w:i/>
                <w:iCs/>
              </w:rPr>
              <w:t>:мм)</w:t>
            </w:r>
            <w:r w:rsidRPr="006C436E">
              <w:br/>
              <w:t>Място:</w:t>
            </w:r>
            <w:r w:rsidRPr="006C436E">
              <w:br/>
              <w:t>В заседателна зала №14, ет.2 в сградата на община Симеоновград, пл.Шейновски №3, гр.Симеоновград</w:t>
            </w:r>
            <w:r w:rsidRPr="006C436E">
              <w:br/>
              <w:t>Информация относно упълномощените лица и процедурата на отваряне:</w:t>
            </w:r>
            <w:r w:rsidRPr="006C436E">
              <w:br/>
              <w:t>Отварянето на постъпилите оферти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6C436E" w:rsidRPr="006C436E" w:rsidRDefault="006C436E" w:rsidP="006C436E">
      <w:pPr>
        <w:rPr>
          <w:b/>
          <w:bCs/>
        </w:rPr>
      </w:pPr>
      <w:r w:rsidRPr="006C436E">
        <w:rPr>
          <w:b/>
          <w:bCs/>
        </w:rPr>
        <w:lastRenderedPageBreak/>
        <w:t> Раздел VI: Допълнителна информация</w:t>
      </w:r>
    </w:p>
    <w:p w:rsidR="006C436E" w:rsidRPr="006C436E" w:rsidRDefault="006C436E" w:rsidP="006C436E">
      <w:r w:rsidRPr="006C436E">
        <w:rPr>
          <w:b/>
          <w:bCs/>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 xml:space="preserve">Това </w:t>
            </w:r>
            <w:proofErr w:type="spellStart"/>
            <w:r w:rsidRPr="006C436E">
              <w:t>представялява</w:t>
            </w:r>
            <w:proofErr w:type="spellEnd"/>
            <w:r w:rsidRPr="006C436E">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6C436E" w:rsidRPr="006C436E">
              <w:trPr>
                <w:tblCellSpacing w:w="15" w:type="dxa"/>
              </w:trPr>
              <w:tc>
                <w:tcPr>
                  <w:tcW w:w="0" w:type="auto"/>
                  <w:tcBorders>
                    <w:top w:val="nil"/>
                    <w:left w:val="nil"/>
                    <w:bottom w:val="nil"/>
                    <w:right w:val="nil"/>
                  </w:tcBorders>
                  <w:vAlign w:val="center"/>
                  <w:hideMark/>
                </w:tcPr>
                <w:p w:rsidR="006C436E" w:rsidRPr="006C436E" w:rsidRDefault="006C436E" w:rsidP="006C436E">
                  <w:r w:rsidRPr="006C436E">
                    <w:t>не</w:t>
                  </w:r>
                </w:p>
              </w:tc>
            </w:tr>
          </w:tbl>
          <w:p w:rsidR="006C436E" w:rsidRPr="006C436E" w:rsidRDefault="006C436E" w:rsidP="006C436E">
            <w:r w:rsidRPr="006C436E">
              <w:br/>
              <w:t>Прогнозни срокове за публикуването на следващи обявления: </w:t>
            </w:r>
            <w:r w:rsidRPr="006C436E">
              <w:rPr>
                <w:vertAlign w:val="superscript"/>
              </w:rPr>
              <w:t>2</w:t>
            </w:r>
          </w:p>
        </w:tc>
      </w:tr>
    </w:tbl>
    <w:p w:rsidR="006C436E" w:rsidRPr="006C436E" w:rsidRDefault="006C436E" w:rsidP="006C436E">
      <w:r w:rsidRPr="006C436E">
        <w:rPr>
          <w:b/>
          <w:bCs/>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Ще се прилага електронно поръчване: НЕ</w:t>
            </w:r>
            <w:r w:rsidRPr="006C436E">
              <w:br/>
              <w:t>Ще се използва електронно фактуриране: НЕ</w:t>
            </w:r>
            <w:r w:rsidRPr="006C436E">
              <w:br/>
              <w:t>Ще се приема електронно заплащане: НЕ</w:t>
            </w:r>
          </w:p>
        </w:tc>
      </w:tr>
    </w:tbl>
    <w:p w:rsidR="006C436E" w:rsidRPr="006C436E" w:rsidRDefault="006C436E" w:rsidP="006C436E">
      <w:r w:rsidRPr="006C436E">
        <w:rPr>
          <w:b/>
          <w:bCs/>
        </w:rPr>
        <w:t>VI.3) Допълнителна информация </w:t>
      </w:r>
      <w:r w:rsidRPr="006C436E">
        <w:rPr>
          <w:b/>
          <w:bCs/>
          <w:vertAlign w:val="superscript"/>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 xml:space="preserve">Гаранцията за изпълнение на договора се представя от участника, определен за изпълнител на поръчката, при подписване на </w:t>
            </w:r>
            <w:proofErr w:type="spellStart"/>
            <w:r w:rsidRPr="006C436E">
              <w:t>договорае</w:t>
            </w:r>
            <w:proofErr w:type="spellEnd"/>
            <w:r w:rsidRPr="006C436E">
              <w:t xml:space="preserve"> в размер на 5% (пет процента) от общата стойност за изпълнение на договора за обществена поръчка без включен ДДС ( по </w:t>
            </w:r>
            <w:proofErr w:type="spellStart"/>
            <w:r w:rsidRPr="006C436E">
              <w:t>бособената</w:t>
            </w:r>
            <w:proofErr w:type="spellEnd"/>
            <w:r w:rsidRPr="006C436E">
              <w:t xml:space="preserve"> позиция). Гаранциите се предоставят в една от следните форми: парична сума; банкова гаранция; застраховка, която обезпечава изпълнението чрез покритие на отговорността на изпълнителя.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гарант.Участникът, определен за изпълнител, избира сам формата на гаранцията за изпълнение на договора. Когато избраният изпълнител е обединение, което не е юридическо лице, всеки от </w:t>
            </w:r>
            <w:proofErr w:type="spellStart"/>
            <w:r w:rsidRPr="006C436E">
              <w:t>съдружниците</w:t>
            </w:r>
            <w:proofErr w:type="spellEnd"/>
            <w:r w:rsidRPr="006C436E">
              <w:t xml:space="preserve"> в него може да е </w:t>
            </w:r>
            <w:proofErr w:type="spellStart"/>
            <w:r w:rsidRPr="006C436E">
              <w:t>наредител</w:t>
            </w:r>
            <w:proofErr w:type="spellEnd"/>
            <w:r w:rsidRPr="006C436E">
              <w:t xml:space="preserve"> по банковата гаранция, съответно вносител на сумата по гаранцията или титуляр на застраховката. При избор на гаранция за изпълнение – парична сума, то тя следва да се внесе по банков път по следната сметка на Възложителя:</w:t>
            </w:r>
            <w:r w:rsidRPr="006C436E">
              <w:br/>
              <w:t>Банка:</w:t>
            </w:r>
            <w:proofErr w:type="spellStart"/>
            <w:r w:rsidRPr="006C436E">
              <w:t>Банка</w:t>
            </w:r>
            <w:proofErr w:type="spellEnd"/>
            <w:r w:rsidRPr="006C436E">
              <w:t xml:space="preserve"> ДСК- АД, </w:t>
            </w:r>
            <w:proofErr w:type="spellStart"/>
            <w:r w:rsidRPr="006C436E">
              <w:t>клонДимитровград</w:t>
            </w:r>
            <w:proofErr w:type="spellEnd"/>
            <w:r w:rsidRPr="006C436E">
              <w:t>, Банков код (BIC): STSABGSF,Банкова сметка (IBAN): BG16STSA 93003300701640</w:t>
            </w:r>
            <w:r w:rsidRPr="006C436E">
              <w:br/>
              <w:t>Документът, удостоверяващ платената гаранция, следва да бъде заверен с подпис и печат от съответната банка и да се предостави в оригинал. Ако участникът е превел парите по електронен път (електронно банкиране), той следва да завери съответния документ с негов подпис и печат. Когато участникът избере да предостави банкова гаранция, тогава тя трябва да бъде безусловна, неотменима и изискуема при първо писмено поискване, в което Възложителят заяви, че Изпълнителя не е изпълнил задължение по договора за възлагане на обществена поръчка. Валидността на гаранцията за изпълнение следва да бъде не по-малка от 30 (тридесет) дни след приключване на всички дейности, включени в предмета на договора.</w:t>
            </w:r>
            <w:r w:rsidRPr="006C436E">
              <w:br/>
              <w:t>Възложителят предвижда гаранция за авансово предоставени средства в размер до 50% (петдесет процента) от стойността на договора без ДДС/в размер на авансово предоставените средства/, предоставена в една от предвидените форми съгласно чл. 111, ал. 5 от ЗОП, избрана от Изпълнителя.</w:t>
            </w:r>
            <w:r w:rsidRPr="006C436E">
              <w:br/>
              <w:t>Обектът /важи и за двете обособени позиции/ на настоящата обществена поръчка е строителство, по смисъла на чл.3, ал.1, т.1 от ЗОП. Строежът е пета категория съгласно чл.137, ал.1, т.5 б „а“ от ЗУТ и чл. 10, ал. 1 от Наредба № 1 от 30.07.2003г. за номенклатурата на видовете строежи.</w:t>
            </w:r>
          </w:p>
        </w:tc>
      </w:tr>
    </w:tbl>
    <w:p w:rsidR="006C436E" w:rsidRPr="006C436E" w:rsidRDefault="006C436E" w:rsidP="006C436E">
      <w:r w:rsidRPr="006C436E">
        <w:rPr>
          <w:b/>
          <w:bCs/>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VI.4.1) Орган, който отговаря за процедурите по обжалване</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242"/>
              <w:gridCol w:w="6746"/>
              <w:gridCol w:w="7372"/>
            </w:tblGrid>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lastRenderedPageBreak/>
                    <w:t>Официално наименование: Комисия за защита на конкуренцията</w:t>
                  </w:r>
                </w:p>
              </w:tc>
            </w:tr>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адрес: бул. Витоша № 18</w:t>
                  </w:r>
                </w:p>
              </w:tc>
            </w:tr>
            <w:tr w:rsidR="006C436E" w:rsidRP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Град: 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код: 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Държава: България</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Електронна поща: 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Телефон: +359 29884070</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Интернет адрес: </w:t>
                  </w:r>
                  <w:r w:rsidRPr="006C436E">
                    <w:rPr>
                      <w:i/>
                      <w:iCs/>
                    </w:rPr>
                    <w:t>(URL)</w:t>
                  </w:r>
                  <w:r w:rsidRPr="006C436E">
                    <w:t> </w:t>
                  </w:r>
                  <w:hyperlink r:id="rId11" w:tgtFrame="_blank" w:history="1">
                    <w:r w:rsidRPr="006C436E">
                      <w:rPr>
                        <w:rStyle w:val="a3"/>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Факс: +359 29807315</w:t>
                  </w:r>
                </w:p>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VI.4.2) Орган, който отговаря за процедурите по медиация</w:t>
            </w:r>
            <w:r w:rsidRPr="006C436E">
              <w:t> </w:t>
            </w:r>
            <w:r w:rsidRPr="006C436E">
              <w:rPr>
                <w:vertAlign w:val="superscript"/>
              </w:rPr>
              <w:t>2</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660"/>
              <w:gridCol w:w="8802"/>
              <w:gridCol w:w="5898"/>
            </w:tblGrid>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Официално наименование:</w:t>
                  </w:r>
                </w:p>
              </w:tc>
            </w:tr>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адрес:</w:t>
                  </w:r>
                </w:p>
              </w:tc>
            </w:tr>
            <w:tr w:rsidR="006C436E" w:rsidRP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Държава:</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Телефон:</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Интернет адрес: </w:t>
                  </w:r>
                  <w:r w:rsidRPr="006C436E">
                    <w:rPr>
                      <w:i/>
                      <w:iCs/>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Факс:</w:t>
                  </w:r>
                </w:p>
              </w:tc>
            </w:tr>
          </w:tbl>
          <w:p w:rsidR="006C436E" w:rsidRPr="006C436E" w:rsidRDefault="006C436E" w:rsidP="006C436E"/>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VI.4.3) Подаване на жалби</w:t>
            </w:r>
            <w:r w:rsidRPr="006C436E">
              <w:br/>
              <w:t>Точна информация относно краен срок/крайни срокове за подаване на жалби:</w:t>
            </w:r>
            <w:r w:rsidRPr="006C436E">
              <w:b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10-дневен срок, съгласно разпоредбите на чл.197 от ЗОП</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rPr>
                <w:b/>
                <w:bCs/>
              </w:rPr>
              <w:t>VI.4.4) Служба, от която може да бъде получена информация относно подаването на жалби</w:t>
            </w:r>
            <w:r w:rsidRPr="006C436E">
              <w:t> </w:t>
            </w:r>
            <w:r w:rsidRPr="006C436E">
              <w:rPr>
                <w:vertAlign w:val="superscript"/>
              </w:rPr>
              <w:t>2</w:t>
            </w:r>
          </w:p>
        </w:tc>
      </w:tr>
      <w:tr w:rsidR="006C436E" w:rsidRPr="006C436E" w:rsidT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660"/>
              <w:gridCol w:w="8802"/>
              <w:gridCol w:w="5898"/>
            </w:tblGrid>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Официално наименование:</w:t>
                  </w:r>
                </w:p>
              </w:tc>
            </w:tr>
            <w:tr w:rsidR="006C436E" w:rsidRPr="006C436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адрес:</w:t>
                  </w:r>
                </w:p>
              </w:tc>
            </w:tr>
            <w:tr w:rsidR="006C436E" w:rsidRPr="006C4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Държава:</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Телефон:</w:t>
                  </w:r>
                </w:p>
              </w:tc>
            </w:tr>
            <w:tr w:rsidR="006C436E" w:rsidRPr="006C436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Интернет адрес: </w:t>
                  </w:r>
                  <w:r w:rsidRPr="006C436E">
                    <w:rPr>
                      <w:i/>
                      <w:iCs/>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436E" w:rsidRPr="006C436E" w:rsidRDefault="006C436E" w:rsidP="006C436E">
                  <w:r w:rsidRPr="006C436E">
                    <w:t>Факс:</w:t>
                  </w:r>
                </w:p>
              </w:tc>
            </w:tr>
          </w:tbl>
          <w:p w:rsidR="006C436E" w:rsidRPr="006C436E" w:rsidRDefault="006C436E" w:rsidP="006C436E"/>
        </w:tc>
      </w:tr>
    </w:tbl>
    <w:p w:rsidR="006C436E" w:rsidRPr="006C436E" w:rsidRDefault="006C436E" w:rsidP="006C436E">
      <w:r w:rsidRPr="006C436E">
        <w:rPr>
          <w:b/>
          <w:bCs/>
        </w:rPr>
        <w:t>VI.5) Дата на изпращане на настоящото обявление: </w:t>
      </w:r>
      <w:r w:rsidRPr="006C436E">
        <w:t>20/03/2020 </w:t>
      </w:r>
      <w:r w:rsidRPr="006C436E">
        <w:rPr>
          <w:i/>
          <w:iCs/>
        </w:rPr>
        <w:t>(</w:t>
      </w:r>
      <w:proofErr w:type="spellStart"/>
      <w:r w:rsidRPr="006C436E">
        <w:rPr>
          <w:i/>
          <w:iCs/>
        </w:rPr>
        <w:t>дд</w:t>
      </w:r>
      <w:proofErr w:type="spellEnd"/>
      <w:r w:rsidRPr="006C436E">
        <w:rPr>
          <w:i/>
          <w:iCs/>
        </w:rPr>
        <w:t>/мм/</w:t>
      </w:r>
      <w:proofErr w:type="spellStart"/>
      <w:r w:rsidRPr="006C436E">
        <w:rPr>
          <w:i/>
          <w:iCs/>
        </w:rPr>
        <w:t>гггг</w:t>
      </w:r>
      <w:proofErr w:type="spellEnd"/>
      <w:r w:rsidRPr="006C436E">
        <w:rPr>
          <w:i/>
          <w:iCs/>
        </w:rPr>
        <w:t>)</w:t>
      </w:r>
    </w:p>
    <w:p w:rsidR="006C436E" w:rsidRPr="006C436E" w:rsidRDefault="006C436E" w:rsidP="006C436E">
      <w:r w:rsidRPr="006C436E">
        <w:rPr>
          <w:i/>
          <w:iCs/>
        </w:rPr>
        <w:lastRenderedPageBreak/>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6C436E" w:rsidRPr="006C436E" w:rsidRDefault="006C436E" w:rsidP="006C436E">
      <w:r w:rsidRPr="006C436E">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
        <w:gridCol w:w="8945"/>
      </w:tblGrid>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w:t>
            </w:r>
          </w:p>
        </w:tc>
        <w:tc>
          <w:tcPr>
            <w:tcW w:w="0" w:type="auto"/>
            <w:vAlign w:val="center"/>
            <w:hideMark/>
          </w:tcPr>
          <w:p w:rsidR="006C436E" w:rsidRPr="006C436E" w:rsidRDefault="006C436E" w:rsidP="006C436E">
            <w:r w:rsidRPr="006C436E">
              <w:rPr>
                <w:i/>
                <w:iCs/>
              </w:rPr>
              <w:t>моля, повторете, колкото пъти е необходимо</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2</w:t>
            </w:r>
          </w:p>
        </w:tc>
        <w:tc>
          <w:tcPr>
            <w:tcW w:w="0" w:type="auto"/>
            <w:vAlign w:val="center"/>
            <w:hideMark/>
          </w:tcPr>
          <w:p w:rsidR="006C436E" w:rsidRPr="006C436E" w:rsidRDefault="006C436E" w:rsidP="006C436E">
            <w:r w:rsidRPr="006C436E">
              <w:rPr>
                <w:i/>
                <w:iCs/>
              </w:rPr>
              <w:t>в приложимите случаи</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3</w:t>
            </w:r>
          </w:p>
        </w:tc>
        <w:tc>
          <w:tcPr>
            <w:tcW w:w="0" w:type="auto"/>
            <w:vAlign w:val="center"/>
            <w:hideMark/>
          </w:tcPr>
          <w:p w:rsidR="006C436E" w:rsidRPr="006C436E" w:rsidRDefault="006C436E" w:rsidP="006C436E">
            <w:r w:rsidRPr="006C436E">
              <w:rPr>
                <w:i/>
                <w:iCs/>
              </w:rPr>
              <w:t>моля, повторете, колкото пъти е необходимо, ако това обявление е само за предварителна информация</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4</w:t>
            </w:r>
          </w:p>
        </w:tc>
        <w:tc>
          <w:tcPr>
            <w:tcW w:w="0" w:type="auto"/>
            <w:vAlign w:val="center"/>
            <w:hideMark/>
          </w:tcPr>
          <w:p w:rsidR="006C436E" w:rsidRPr="006C436E" w:rsidRDefault="006C436E" w:rsidP="006C436E">
            <w:r w:rsidRPr="006C436E">
              <w:rPr>
                <w:i/>
                <w:iCs/>
              </w:rPr>
              <w:t>ако тази информация е известна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5</w:t>
            </w:r>
          </w:p>
        </w:tc>
        <w:tc>
          <w:tcPr>
            <w:tcW w:w="0" w:type="auto"/>
            <w:vAlign w:val="center"/>
            <w:hideMark/>
          </w:tcPr>
          <w:p w:rsidR="006C436E" w:rsidRPr="006C436E" w:rsidRDefault="006C436E" w:rsidP="006C436E">
            <w:r w:rsidRPr="006C436E">
              <w:rPr>
                <w:i/>
                <w:iCs/>
              </w:rPr>
              <w:t>моля, представете тази информация, ако обявлението е покана за участие в състезателна процедура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6</w:t>
            </w:r>
          </w:p>
        </w:tc>
        <w:tc>
          <w:tcPr>
            <w:tcW w:w="0" w:type="auto"/>
            <w:vAlign w:val="center"/>
            <w:hideMark/>
          </w:tcPr>
          <w:p w:rsidR="006C436E" w:rsidRPr="006C436E" w:rsidRDefault="006C436E" w:rsidP="006C436E">
            <w:r w:rsidRPr="006C436E">
              <w:rPr>
                <w:i/>
                <w:iCs/>
              </w:rPr>
              <w:t>доколкото информацията е вече известна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7</w:t>
            </w:r>
          </w:p>
        </w:tc>
        <w:tc>
          <w:tcPr>
            <w:tcW w:w="0" w:type="auto"/>
            <w:vAlign w:val="center"/>
            <w:hideMark/>
          </w:tcPr>
          <w:p w:rsidR="006C436E" w:rsidRPr="006C436E" w:rsidRDefault="006C436E" w:rsidP="006C436E">
            <w:r w:rsidRPr="006C436E">
              <w:rPr>
                <w:i/>
                <w:iCs/>
              </w:rPr>
              <w:t>задължителна информация, която не се публикува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8</w:t>
            </w:r>
          </w:p>
        </w:tc>
        <w:tc>
          <w:tcPr>
            <w:tcW w:w="0" w:type="auto"/>
            <w:vAlign w:val="center"/>
            <w:hideMark/>
          </w:tcPr>
          <w:p w:rsidR="006C436E" w:rsidRPr="006C436E" w:rsidRDefault="006C436E" w:rsidP="006C436E">
            <w:r w:rsidRPr="006C436E">
              <w:rPr>
                <w:i/>
                <w:iCs/>
              </w:rPr>
              <w:t>информация по избор</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9</w:t>
            </w:r>
          </w:p>
        </w:tc>
        <w:tc>
          <w:tcPr>
            <w:tcW w:w="0" w:type="auto"/>
            <w:vAlign w:val="center"/>
            <w:hideMark/>
          </w:tcPr>
          <w:p w:rsidR="006C436E" w:rsidRPr="006C436E" w:rsidRDefault="006C436E" w:rsidP="006C436E">
            <w:r w:rsidRPr="006C436E">
              <w:rPr>
                <w:i/>
                <w:iCs/>
              </w:rPr>
              <w:t>моля, представете тази информация само ако обявлението е за предварителна информация</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10</w:t>
            </w:r>
          </w:p>
        </w:tc>
        <w:tc>
          <w:tcPr>
            <w:tcW w:w="0" w:type="auto"/>
            <w:vAlign w:val="center"/>
            <w:hideMark/>
          </w:tcPr>
          <w:p w:rsidR="006C436E" w:rsidRPr="006C436E" w:rsidRDefault="006C436E" w:rsidP="006C436E">
            <w:r w:rsidRPr="006C436E">
              <w:rPr>
                <w:i/>
                <w:iCs/>
              </w:rPr>
              <w:t>моля, представете тази информация само ако обявлението е обявление за възлагане</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11</w:t>
            </w:r>
          </w:p>
        </w:tc>
        <w:tc>
          <w:tcPr>
            <w:tcW w:w="0" w:type="auto"/>
            <w:vAlign w:val="center"/>
            <w:hideMark/>
          </w:tcPr>
          <w:p w:rsidR="006C436E" w:rsidRPr="006C436E" w:rsidRDefault="006C436E" w:rsidP="006C436E">
            <w:r w:rsidRPr="006C436E">
              <w:rPr>
                <w:i/>
                <w:iCs/>
              </w:rPr>
              <w:t>само ако обявлението се отнася до квалификационна система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12</w:t>
            </w:r>
          </w:p>
        </w:tc>
        <w:tc>
          <w:tcPr>
            <w:tcW w:w="0" w:type="auto"/>
            <w:vAlign w:val="center"/>
            <w:hideMark/>
          </w:tcPr>
          <w:p w:rsidR="006C436E" w:rsidRPr="006C436E" w:rsidRDefault="006C436E" w:rsidP="006C436E">
            <w:r w:rsidRPr="006C436E">
              <w:rPr>
                <w:i/>
                <w:iCs/>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13</w:t>
            </w:r>
          </w:p>
        </w:tc>
        <w:tc>
          <w:tcPr>
            <w:tcW w:w="0" w:type="auto"/>
            <w:vAlign w:val="center"/>
            <w:hideMark/>
          </w:tcPr>
          <w:p w:rsidR="006C436E" w:rsidRPr="006C436E" w:rsidRDefault="006C436E" w:rsidP="006C436E">
            <w:r w:rsidRPr="006C436E">
              <w:rPr>
                <w:i/>
                <w:iCs/>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14</w:t>
            </w:r>
          </w:p>
        </w:tc>
        <w:tc>
          <w:tcPr>
            <w:tcW w:w="0" w:type="auto"/>
            <w:vAlign w:val="center"/>
            <w:hideMark/>
          </w:tcPr>
          <w:p w:rsidR="006C436E" w:rsidRPr="006C436E" w:rsidRDefault="006C436E" w:rsidP="006C436E">
            <w:r w:rsidRPr="006C436E">
              <w:rPr>
                <w:i/>
                <w:iCs/>
              </w:rPr>
              <w:t xml:space="preserve">ако това е за предварителна информация, използвано като покана за </w:t>
            </w:r>
            <w:proofErr w:type="spellStart"/>
            <w:r w:rsidRPr="006C436E">
              <w:rPr>
                <w:i/>
                <w:iCs/>
              </w:rPr>
              <w:t>участите</w:t>
            </w:r>
            <w:proofErr w:type="spellEnd"/>
            <w:r w:rsidRPr="006C436E">
              <w:rPr>
                <w:i/>
                <w:iCs/>
              </w:rPr>
              <w:t xml:space="preserve"> в състезателна процедура - моля, представете тази информация, ако тя вече е известна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15</w:t>
            </w:r>
          </w:p>
        </w:tc>
        <w:tc>
          <w:tcPr>
            <w:tcW w:w="0" w:type="auto"/>
            <w:vAlign w:val="center"/>
            <w:hideMark/>
          </w:tcPr>
          <w:p w:rsidR="006C436E" w:rsidRPr="006C436E" w:rsidRDefault="006C436E" w:rsidP="006C436E">
            <w:r w:rsidRPr="006C436E">
              <w:rPr>
                <w:i/>
                <w:iCs/>
              </w:rPr>
              <w:t>моля, представете тази информация тук или, ако е приложимо, в поканата за подаване на оферти</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16</w:t>
            </w:r>
          </w:p>
        </w:tc>
        <w:tc>
          <w:tcPr>
            <w:tcW w:w="0" w:type="auto"/>
            <w:vAlign w:val="center"/>
            <w:hideMark/>
          </w:tcPr>
          <w:p w:rsidR="006C436E" w:rsidRPr="006C436E" w:rsidRDefault="006C436E" w:rsidP="006C436E"/>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17</w:t>
            </w:r>
          </w:p>
        </w:tc>
        <w:tc>
          <w:tcPr>
            <w:tcW w:w="0" w:type="auto"/>
            <w:vAlign w:val="center"/>
            <w:hideMark/>
          </w:tcPr>
          <w:p w:rsidR="006C436E" w:rsidRPr="006C436E" w:rsidRDefault="006C436E" w:rsidP="006C436E">
            <w:r w:rsidRPr="006C436E">
              <w:rPr>
                <w:i/>
                <w:iCs/>
              </w:rPr>
              <w:t>задължителна информация, ако това е обявление за възлагане</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lastRenderedPageBreak/>
              <w:t>18</w:t>
            </w:r>
          </w:p>
        </w:tc>
        <w:tc>
          <w:tcPr>
            <w:tcW w:w="0" w:type="auto"/>
            <w:vAlign w:val="center"/>
            <w:hideMark/>
          </w:tcPr>
          <w:p w:rsidR="006C436E" w:rsidRPr="006C436E" w:rsidRDefault="006C436E" w:rsidP="006C436E">
            <w:r w:rsidRPr="006C436E">
              <w:rPr>
                <w:i/>
                <w:iCs/>
              </w:rPr>
              <w:t>само ако обявлението не се отнася до квалификационна система</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19</w:t>
            </w:r>
          </w:p>
        </w:tc>
        <w:tc>
          <w:tcPr>
            <w:tcW w:w="0" w:type="auto"/>
            <w:vAlign w:val="center"/>
            <w:hideMark/>
          </w:tcPr>
          <w:p w:rsidR="006C436E" w:rsidRPr="006C436E" w:rsidRDefault="006C436E" w:rsidP="006C436E">
            <w:r w:rsidRPr="006C436E">
              <w:rPr>
                <w:i/>
                <w:iCs/>
              </w:rPr>
              <w:t>ако обявлението има за цел намаляване на срока за получаване на оферти</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20</w:t>
            </w:r>
          </w:p>
        </w:tc>
        <w:tc>
          <w:tcPr>
            <w:tcW w:w="0" w:type="auto"/>
            <w:vAlign w:val="center"/>
            <w:hideMark/>
          </w:tcPr>
          <w:p w:rsidR="006C436E" w:rsidRPr="006C436E" w:rsidRDefault="006C436E" w:rsidP="006C436E">
            <w:r w:rsidRPr="006C436E">
              <w:rPr>
                <w:i/>
                <w:iCs/>
              </w:rPr>
              <w:t>може да бъде присъдена значимост вместо тежест</w:t>
            </w:r>
          </w:p>
        </w:tc>
      </w:tr>
      <w:tr w:rsidR="006C436E" w:rsidRPr="006C436E" w:rsidTr="006C436E">
        <w:trPr>
          <w:tblCellSpacing w:w="15" w:type="dxa"/>
        </w:trPr>
        <w:tc>
          <w:tcPr>
            <w:tcW w:w="0" w:type="auto"/>
            <w:vAlign w:val="center"/>
            <w:hideMark/>
          </w:tcPr>
          <w:p w:rsidR="006C436E" w:rsidRPr="006C436E" w:rsidRDefault="006C436E" w:rsidP="006C436E">
            <w:r w:rsidRPr="006C436E">
              <w:rPr>
                <w:vertAlign w:val="superscript"/>
              </w:rPr>
              <w:t>21</w:t>
            </w:r>
          </w:p>
        </w:tc>
        <w:tc>
          <w:tcPr>
            <w:tcW w:w="0" w:type="auto"/>
            <w:vAlign w:val="center"/>
            <w:hideMark/>
          </w:tcPr>
          <w:p w:rsidR="006C436E" w:rsidRPr="006C436E" w:rsidRDefault="006C436E" w:rsidP="006C436E">
            <w:r w:rsidRPr="006C436E">
              <w:rPr>
                <w:i/>
                <w:iCs/>
              </w:rPr>
              <w:t>може да бъде присъдена значимост вместо тежест; ако цената е единственият критерий за възлагане, тежестта не се използва</w:t>
            </w:r>
          </w:p>
        </w:tc>
      </w:tr>
    </w:tbl>
    <w:p w:rsidR="0092639C" w:rsidRDefault="0092639C">
      <w:bookmarkStart w:id="0" w:name="_GoBack"/>
      <w:bookmarkEnd w:id="0"/>
    </w:p>
    <w:sectPr w:rsidR="00926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E7"/>
    <w:rsid w:val="006C436E"/>
    <w:rsid w:val="008B51E7"/>
    <w:rsid w:val="009263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36E"/>
    <w:rPr>
      <w:color w:val="0000FF" w:themeColor="hyperlink"/>
      <w:u w:val="single"/>
    </w:rPr>
  </w:style>
  <w:style w:type="paragraph" w:styleId="a4">
    <w:name w:val="Balloon Text"/>
    <w:basedOn w:val="a"/>
    <w:link w:val="a5"/>
    <w:uiPriority w:val="99"/>
    <w:semiHidden/>
    <w:unhideWhenUsed/>
    <w:rsid w:val="006C436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C4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36E"/>
    <w:rPr>
      <w:color w:val="0000FF" w:themeColor="hyperlink"/>
      <w:u w:val="single"/>
    </w:rPr>
  </w:style>
  <w:style w:type="paragraph" w:styleId="a4">
    <w:name w:val="Balloon Text"/>
    <w:basedOn w:val="a"/>
    <w:link w:val="a5"/>
    <w:uiPriority w:val="99"/>
    <w:semiHidden/>
    <w:unhideWhenUsed/>
    <w:rsid w:val="006C436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C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60979">
      <w:bodyDiv w:val="1"/>
      <w:marLeft w:val="0"/>
      <w:marRight w:val="0"/>
      <w:marTop w:val="0"/>
      <w:marBottom w:val="0"/>
      <w:divBdr>
        <w:top w:val="none" w:sz="0" w:space="0" w:color="auto"/>
        <w:left w:val="none" w:sz="0" w:space="0" w:color="auto"/>
        <w:bottom w:val="none" w:sz="0" w:space="0" w:color="auto"/>
        <w:right w:val="none" w:sz="0" w:space="0" w:color="auto"/>
      </w:divBdr>
      <w:divsChild>
        <w:div w:id="1727099617">
          <w:marLeft w:val="0"/>
          <w:marRight w:val="0"/>
          <w:marTop w:val="0"/>
          <w:marBottom w:val="0"/>
          <w:divBdr>
            <w:top w:val="none" w:sz="0" w:space="0" w:color="auto"/>
            <w:left w:val="none" w:sz="0" w:space="0" w:color="auto"/>
            <w:bottom w:val="none" w:sz="0" w:space="0" w:color="auto"/>
            <w:right w:val="none" w:sz="0" w:space="0" w:color="auto"/>
          </w:divBdr>
          <w:divsChild>
            <w:div w:id="677125588">
              <w:marLeft w:val="0"/>
              <w:marRight w:val="0"/>
              <w:marTop w:val="0"/>
              <w:marBottom w:val="0"/>
              <w:divBdr>
                <w:top w:val="none" w:sz="0" w:space="0" w:color="auto"/>
                <w:left w:val="none" w:sz="0" w:space="0" w:color="auto"/>
                <w:bottom w:val="none" w:sz="0" w:space="0" w:color="auto"/>
                <w:right w:val="none" w:sz="0" w:space="0" w:color="auto"/>
              </w:divBdr>
            </w:div>
            <w:div w:id="271132334">
              <w:marLeft w:val="0"/>
              <w:marRight w:val="0"/>
              <w:marTop w:val="0"/>
              <w:marBottom w:val="0"/>
              <w:divBdr>
                <w:top w:val="none" w:sz="0" w:space="0" w:color="auto"/>
                <w:left w:val="none" w:sz="0" w:space="0" w:color="auto"/>
                <w:bottom w:val="none" w:sz="0" w:space="0" w:color="auto"/>
                <w:right w:val="none" w:sz="0" w:space="0" w:color="auto"/>
              </w:divBdr>
            </w:div>
          </w:divsChild>
        </w:div>
        <w:div w:id="487744729">
          <w:marLeft w:val="0"/>
          <w:marRight w:val="0"/>
          <w:marTop w:val="0"/>
          <w:marBottom w:val="0"/>
          <w:divBdr>
            <w:top w:val="none" w:sz="0" w:space="0" w:color="auto"/>
            <w:left w:val="none" w:sz="0" w:space="0" w:color="auto"/>
            <w:bottom w:val="none" w:sz="0" w:space="0" w:color="auto"/>
            <w:right w:val="none" w:sz="0" w:space="0" w:color="auto"/>
          </w:divBdr>
        </w:div>
        <w:div w:id="148640854">
          <w:marLeft w:val="0"/>
          <w:marRight w:val="0"/>
          <w:marTop w:val="0"/>
          <w:marBottom w:val="0"/>
          <w:divBdr>
            <w:top w:val="none" w:sz="0" w:space="0" w:color="auto"/>
            <w:left w:val="none" w:sz="0" w:space="0" w:color="auto"/>
            <w:bottom w:val="none" w:sz="0" w:space="0" w:color="auto"/>
            <w:right w:val="none" w:sz="0" w:space="0" w:color="auto"/>
          </w:divBdr>
        </w:div>
        <w:div w:id="13969124">
          <w:marLeft w:val="0"/>
          <w:marRight w:val="0"/>
          <w:marTop w:val="0"/>
          <w:marBottom w:val="150"/>
          <w:divBdr>
            <w:top w:val="none" w:sz="0" w:space="0" w:color="auto"/>
            <w:left w:val="none" w:sz="0" w:space="0" w:color="auto"/>
            <w:bottom w:val="none" w:sz="0" w:space="0" w:color="auto"/>
            <w:right w:val="none" w:sz="0" w:space="0" w:color="auto"/>
          </w:divBdr>
          <w:divsChild>
            <w:div w:id="1032993453">
              <w:marLeft w:val="0"/>
              <w:marRight w:val="0"/>
              <w:marTop w:val="0"/>
              <w:marBottom w:val="0"/>
              <w:divBdr>
                <w:top w:val="none" w:sz="0" w:space="0" w:color="auto"/>
                <w:left w:val="none" w:sz="0" w:space="0" w:color="auto"/>
                <w:bottom w:val="none" w:sz="0" w:space="0" w:color="auto"/>
                <w:right w:val="none" w:sz="0" w:space="0" w:color="auto"/>
              </w:divBdr>
            </w:div>
            <w:div w:id="1289168174">
              <w:marLeft w:val="0"/>
              <w:marRight w:val="0"/>
              <w:marTop w:val="0"/>
              <w:marBottom w:val="0"/>
              <w:divBdr>
                <w:top w:val="none" w:sz="0" w:space="0" w:color="auto"/>
                <w:left w:val="none" w:sz="0" w:space="0" w:color="auto"/>
                <w:bottom w:val="none" w:sz="0" w:space="0" w:color="auto"/>
                <w:right w:val="none" w:sz="0" w:space="0" w:color="auto"/>
              </w:divBdr>
            </w:div>
            <w:div w:id="419523583">
              <w:marLeft w:val="0"/>
              <w:marRight w:val="0"/>
              <w:marTop w:val="0"/>
              <w:marBottom w:val="0"/>
              <w:divBdr>
                <w:top w:val="none" w:sz="0" w:space="0" w:color="auto"/>
                <w:left w:val="none" w:sz="0" w:space="0" w:color="auto"/>
                <w:bottom w:val="none" w:sz="0" w:space="0" w:color="auto"/>
                <w:right w:val="none" w:sz="0" w:space="0" w:color="auto"/>
              </w:divBdr>
            </w:div>
            <w:div w:id="1085030034">
              <w:marLeft w:val="0"/>
              <w:marRight w:val="0"/>
              <w:marTop w:val="0"/>
              <w:marBottom w:val="0"/>
              <w:divBdr>
                <w:top w:val="none" w:sz="0" w:space="0" w:color="auto"/>
                <w:left w:val="none" w:sz="0" w:space="0" w:color="auto"/>
                <w:bottom w:val="none" w:sz="0" w:space="0" w:color="auto"/>
                <w:right w:val="none" w:sz="0" w:space="0" w:color="auto"/>
              </w:divBdr>
            </w:div>
          </w:divsChild>
        </w:div>
        <w:div w:id="2060662296">
          <w:marLeft w:val="0"/>
          <w:marRight w:val="0"/>
          <w:marTop w:val="0"/>
          <w:marBottom w:val="0"/>
          <w:divBdr>
            <w:top w:val="none" w:sz="0" w:space="0" w:color="auto"/>
            <w:left w:val="none" w:sz="0" w:space="0" w:color="auto"/>
            <w:bottom w:val="none" w:sz="0" w:space="0" w:color="auto"/>
            <w:right w:val="none" w:sz="0" w:space="0" w:color="auto"/>
          </w:divBdr>
        </w:div>
        <w:div w:id="96562265">
          <w:marLeft w:val="0"/>
          <w:marRight w:val="0"/>
          <w:marTop w:val="0"/>
          <w:marBottom w:val="0"/>
          <w:divBdr>
            <w:top w:val="none" w:sz="0" w:space="0" w:color="auto"/>
            <w:left w:val="none" w:sz="0" w:space="0" w:color="auto"/>
            <w:bottom w:val="none" w:sz="0" w:space="0" w:color="auto"/>
            <w:right w:val="none" w:sz="0" w:space="0" w:color="auto"/>
          </w:divBdr>
        </w:div>
        <w:div w:id="745685209">
          <w:marLeft w:val="0"/>
          <w:marRight w:val="0"/>
          <w:marTop w:val="0"/>
          <w:marBottom w:val="150"/>
          <w:divBdr>
            <w:top w:val="single" w:sz="12" w:space="4" w:color="000000"/>
            <w:left w:val="single" w:sz="12" w:space="4" w:color="000000"/>
            <w:bottom w:val="single" w:sz="12" w:space="4" w:color="000000"/>
            <w:right w:val="single" w:sz="12" w:space="4" w:color="000000"/>
          </w:divBdr>
          <w:divsChild>
            <w:div w:id="1088310159">
              <w:marLeft w:val="0"/>
              <w:marRight w:val="0"/>
              <w:marTop w:val="0"/>
              <w:marBottom w:val="0"/>
              <w:divBdr>
                <w:top w:val="none" w:sz="0" w:space="0" w:color="auto"/>
                <w:left w:val="none" w:sz="0" w:space="0" w:color="auto"/>
                <w:bottom w:val="none" w:sz="0" w:space="0" w:color="auto"/>
                <w:right w:val="none" w:sz="0" w:space="0" w:color="auto"/>
              </w:divBdr>
            </w:div>
            <w:div w:id="1632980715">
              <w:marLeft w:val="0"/>
              <w:marRight w:val="0"/>
              <w:marTop w:val="0"/>
              <w:marBottom w:val="0"/>
              <w:divBdr>
                <w:top w:val="none" w:sz="0" w:space="0" w:color="auto"/>
                <w:left w:val="none" w:sz="0" w:space="0" w:color="auto"/>
                <w:bottom w:val="none" w:sz="0" w:space="0" w:color="auto"/>
                <w:right w:val="none" w:sz="0" w:space="0" w:color="auto"/>
              </w:divBdr>
              <w:divsChild>
                <w:div w:id="1840854124">
                  <w:marLeft w:val="0"/>
                  <w:marRight w:val="0"/>
                  <w:marTop w:val="0"/>
                  <w:marBottom w:val="0"/>
                  <w:divBdr>
                    <w:top w:val="none" w:sz="0" w:space="0" w:color="auto"/>
                    <w:left w:val="none" w:sz="0" w:space="0" w:color="auto"/>
                    <w:bottom w:val="none" w:sz="0" w:space="0" w:color="auto"/>
                    <w:right w:val="none" w:sz="0" w:space="0" w:color="auto"/>
                  </w:divBdr>
                </w:div>
                <w:div w:id="1820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6970">
          <w:marLeft w:val="0"/>
          <w:marRight w:val="0"/>
          <w:marTop w:val="0"/>
          <w:marBottom w:val="0"/>
          <w:divBdr>
            <w:top w:val="none" w:sz="0" w:space="0" w:color="auto"/>
            <w:left w:val="none" w:sz="0" w:space="0" w:color="auto"/>
            <w:bottom w:val="none" w:sz="0" w:space="0" w:color="auto"/>
            <w:right w:val="none" w:sz="0" w:space="0" w:color="auto"/>
          </w:divBdr>
          <w:divsChild>
            <w:div w:id="480083050">
              <w:marLeft w:val="0"/>
              <w:marRight w:val="0"/>
              <w:marTop w:val="0"/>
              <w:marBottom w:val="150"/>
              <w:divBdr>
                <w:top w:val="none" w:sz="0" w:space="0" w:color="auto"/>
                <w:left w:val="none" w:sz="0" w:space="0" w:color="auto"/>
                <w:bottom w:val="none" w:sz="0" w:space="0" w:color="auto"/>
                <w:right w:val="none" w:sz="0" w:space="0" w:color="auto"/>
              </w:divBdr>
              <w:divsChild>
                <w:div w:id="1637954467">
                  <w:marLeft w:val="0"/>
                  <w:marRight w:val="0"/>
                  <w:marTop w:val="0"/>
                  <w:marBottom w:val="0"/>
                  <w:divBdr>
                    <w:top w:val="none" w:sz="0" w:space="0" w:color="auto"/>
                    <w:left w:val="none" w:sz="0" w:space="0" w:color="auto"/>
                    <w:bottom w:val="none" w:sz="0" w:space="0" w:color="auto"/>
                    <w:right w:val="none" w:sz="0" w:space="0" w:color="auto"/>
                  </w:divBdr>
                </w:div>
                <w:div w:id="695499765">
                  <w:marLeft w:val="0"/>
                  <w:marRight w:val="0"/>
                  <w:marTop w:val="0"/>
                  <w:marBottom w:val="0"/>
                  <w:divBdr>
                    <w:top w:val="none" w:sz="0" w:space="0" w:color="auto"/>
                    <w:left w:val="none" w:sz="0" w:space="0" w:color="auto"/>
                    <w:bottom w:val="none" w:sz="0" w:space="0" w:color="auto"/>
                    <w:right w:val="none" w:sz="0" w:space="0" w:color="auto"/>
                  </w:divBdr>
                </w:div>
              </w:divsChild>
            </w:div>
            <w:div w:id="930552931">
              <w:marLeft w:val="0"/>
              <w:marRight w:val="0"/>
              <w:marTop w:val="0"/>
              <w:marBottom w:val="0"/>
              <w:divBdr>
                <w:top w:val="none" w:sz="0" w:space="0" w:color="auto"/>
                <w:left w:val="none" w:sz="0" w:space="0" w:color="auto"/>
                <w:bottom w:val="none" w:sz="0" w:space="0" w:color="auto"/>
                <w:right w:val="none" w:sz="0" w:space="0" w:color="auto"/>
              </w:divBdr>
            </w:div>
          </w:divsChild>
        </w:div>
        <w:div w:id="77529309">
          <w:marLeft w:val="0"/>
          <w:marRight w:val="0"/>
          <w:marTop w:val="0"/>
          <w:marBottom w:val="0"/>
          <w:divBdr>
            <w:top w:val="none" w:sz="0" w:space="0" w:color="auto"/>
            <w:left w:val="none" w:sz="0" w:space="0" w:color="auto"/>
            <w:bottom w:val="none" w:sz="0" w:space="0" w:color="auto"/>
            <w:right w:val="none" w:sz="0" w:space="0" w:color="auto"/>
          </w:divBdr>
          <w:divsChild>
            <w:div w:id="1143810985">
              <w:marLeft w:val="0"/>
              <w:marRight w:val="0"/>
              <w:marTop w:val="0"/>
              <w:marBottom w:val="150"/>
              <w:divBdr>
                <w:top w:val="none" w:sz="0" w:space="0" w:color="auto"/>
                <w:left w:val="none" w:sz="0" w:space="0" w:color="auto"/>
                <w:bottom w:val="none" w:sz="0" w:space="0" w:color="auto"/>
                <w:right w:val="none" w:sz="0" w:space="0" w:color="auto"/>
              </w:divBdr>
              <w:divsChild>
                <w:div w:id="2074886650">
                  <w:marLeft w:val="0"/>
                  <w:marRight w:val="0"/>
                  <w:marTop w:val="0"/>
                  <w:marBottom w:val="0"/>
                  <w:divBdr>
                    <w:top w:val="none" w:sz="0" w:space="0" w:color="auto"/>
                    <w:left w:val="none" w:sz="0" w:space="0" w:color="auto"/>
                    <w:bottom w:val="none" w:sz="0" w:space="0" w:color="auto"/>
                    <w:right w:val="none" w:sz="0" w:space="0" w:color="auto"/>
                  </w:divBdr>
                </w:div>
                <w:div w:id="703216649">
                  <w:marLeft w:val="0"/>
                  <w:marRight w:val="0"/>
                  <w:marTop w:val="0"/>
                  <w:marBottom w:val="0"/>
                  <w:divBdr>
                    <w:top w:val="none" w:sz="0" w:space="0" w:color="auto"/>
                    <w:left w:val="none" w:sz="0" w:space="0" w:color="auto"/>
                    <w:bottom w:val="none" w:sz="0" w:space="0" w:color="auto"/>
                    <w:right w:val="none" w:sz="0" w:space="0" w:color="auto"/>
                  </w:divBdr>
                  <w:divsChild>
                    <w:div w:id="422381599">
                      <w:marLeft w:val="0"/>
                      <w:marRight w:val="0"/>
                      <w:marTop w:val="0"/>
                      <w:marBottom w:val="0"/>
                      <w:divBdr>
                        <w:top w:val="none" w:sz="0" w:space="0" w:color="auto"/>
                        <w:left w:val="none" w:sz="0" w:space="0" w:color="auto"/>
                        <w:bottom w:val="none" w:sz="0" w:space="0" w:color="auto"/>
                        <w:right w:val="none" w:sz="0" w:space="0" w:color="auto"/>
                      </w:divBdr>
                    </w:div>
                    <w:div w:id="3501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05">
              <w:marLeft w:val="0"/>
              <w:marRight w:val="0"/>
              <w:marTop w:val="0"/>
              <w:marBottom w:val="0"/>
              <w:divBdr>
                <w:top w:val="none" w:sz="0" w:space="0" w:color="auto"/>
                <w:left w:val="none" w:sz="0" w:space="0" w:color="auto"/>
                <w:bottom w:val="none" w:sz="0" w:space="0" w:color="auto"/>
                <w:right w:val="none" w:sz="0" w:space="0" w:color="auto"/>
              </w:divBdr>
            </w:div>
          </w:divsChild>
        </w:div>
        <w:div w:id="1661108147">
          <w:marLeft w:val="0"/>
          <w:marRight w:val="0"/>
          <w:marTop w:val="0"/>
          <w:marBottom w:val="0"/>
          <w:divBdr>
            <w:top w:val="none" w:sz="0" w:space="0" w:color="auto"/>
            <w:left w:val="none" w:sz="0" w:space="0" w:color="auto"/>
            <w:bottom w:val="none" w:sz="0" w:space="0" w:color="auto"/>
            <w:right w:val="none" w:sz="0" w:space="0" w:color="auto"/>
          </w:divBdr>
          <w:divsChild>
            <w:div w:id="469041">
              <w:marLeft w:val="0"/>
              <w:marRight w:val="0"/>
              <w:marTop w:val="0"/>
              <w:marBottom w:val="150"/>
              <w:divBdr>
                <w:top w:val="none" w:sz="0" w:space="0" w:color="auto"/>
                <w:left w:val="none" w:sz="0" w:space="0" w:color="auto"/>
                <w:bottom w:val="none" w:sz="0" w:space="0" w:color="auto"/>
                <w:right w:val="none" w:sz="0" w:space="0" w:color="auto"/>
              </w:divBdr>
              <w:divsChild>
                <w:div w:id="624000566">
                  <w:marLeft w:val="0"/>
                  <w:marRight w:val="0"/>
                  <w:marTop w:val="0"/>
                  <w:marBottom w:val="0"/>
                  <w:divBdr>
                    <w:top w:val="none" w:sz="0" w:space="0" w:color="auto"/>
                    <w:left w:val="none" w:sz="0" w:space="0" w:color="auto"/>
                    <w:bottom w:val="none" w:sz="0" w:space="0" w:color="auto"/>
                    <w:right w:val="none" w:sz="0" w:space="0" w:color="auto"/>
                  </w:divBdr>
                </w:div>
                <w:div w:id="814417631">
                  <w:marLeft w:val="0"/>
                  <w:marRight w:val="0"/>
                  <w:marTop w:val="0"/>
                  <w:marBottom w:val="0"/>
                  <w:divBdr>
                    <w:top w:val="none" w:sz="0" w:space="0" w:color="auto"/>
                    <w:left w:val="none" w:sz="0" w:space="0" w:color="auto"/>
                    <w:bottom w:val="none" w:sz="0" w:space="0" w:color="auto"/>
                    <w:right w:val="none" w:sz="0" w:space="0" w:color="auto"/>
                  </w:divBdr>
                </w:div>
                <w:div w:id="1979801576">
                  <w:marLeft w:val="0"/>
                  <w:marRight w:val="0"/>
                  <w:marTop w:val="0"/>
                  <w:marBottom w:val="0"/>
                  <w:divBdr>
                    <w:top w:val="none" w:sz="0" w:space="0" w:color="auto"/>
                    <w:left w:val="none" w:sz="0" w:space="0" w:color="auto"/>
                    <w:bottom w:val="none" w:sz="0" w:space="0" w:color="auto"/>
                    <w:right w:val="none" w:sz="0" w:space="0" w:color="auto"/>
                  </w:divBdr>
                </w:div>
                <w:div w:id="694501393">
                  <w:marLeft w:val="0"/>
                  <w:marRight w:val="0"/>
                  <w:marTop w:val="0"/>
                  <w:marBottom w:val="0"/>
                  <w:divBdr>
                    <w:top w:val="none" w:sz="0" w:space="0" w:color="auto"/>
                    <w:left w:val="none" w:sz="0" w:space="0" w:color="auto"/>
                    <w:bottom w:val="none" w:sz="0" w:space="0" w:color="auto"/>
                    <w:right w:val="none" w:sz="0" w:space="0" w:color="auto"/>
                  </w:divBdr>
                </w:div>
                <w:div w:id="445929577">
                  <w:marLeft w:val="0"/>
                  <w:marRight w:val="0"/>
                  <w:marTop w:val="0"/>
                  <w:marBottom w:val="0"/>
                  <w:divBdr>
                    <w:top w:val="none" w:sz="0" w:space="0" w:color="auto"/>
                    <w:left w:val="none" w:sz="0" w:space="0" w:color="auto"/>
                    <w:bottom w:val="none" w:sz="0" w:space="0" w:color="auto"/>
                    <w:right w:val="none" w:sz="0" w:space="0" w:color="auto"/>
                  </w:divBdr>
                </w:div>
                <w:div w:id="15967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4829</Words>
  <Characters>27526</Characters>
  <Application>Microsoft Office Word</Application>
  <DocSecurity>0</DocSecurity>
  <Lines>229</Lines>
  <Paragraphs>64</Paragraphs>
  <ScaleCrop>false</ScaleCrop>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2020-03-20T14:20:00Z</dcterms:created>
  <dcterms:modified xsi:type="dcterms:W3CDTF">2020-03-20T14:21:00Z</dcterms:modified>
</cp:coreProperties>
</file>