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50" w:rsidRPr="00FD4A50" w:rsidRDefault="00FD4A50" w:rsidP="00FD4A50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2"/>
        <w:gridCol w:w="13638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С-447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30/01/2018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FD4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FD4A50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00638-2018-0001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FD4A50" w:rsidRPr="00FD4A50" w:rsidRDefault="00FD4A50" w:rsidP="00FD4A50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86155" cy="690245"/>
                  <wp:effectExtent l="19050" t="0" r="4445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FD4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FD4A50" w:rsidRPr="00FD4A50" w:rsidRDefault="00FD4A50" w:rsidP="00FD4A50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поръчка</w:t>
      </w:r>
    </w:p>
    <w:p w:rsidR="00FD4A50" w:rsidRPr="00FD4A50" w:rsidRDefault="00FD4A50" w:rsidP="00FD4A50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  <w:t>Директива 2014/24/ЕС/ЗОП</w:t>
      </w:r>
    </w:p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  <w:t> </w:t>
      </w: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vertAlign w:val="superscript"/>
          <w:lang w:eastAsia="bg-BG"/>
        </w:rPr>
        <w:t>1</w:t>
      </w: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  <w:t> </w:t>
      </w:r>
      <w:r w:rsidRPr="00FD4A50">
        <w:rPr>
          <w:rFonts w:ascii="Trebuchet MS" w:eastAsia="Times New Roman" w:hAnsi="Trebuchet MS" w:cs="Times New Roman"/>
          <w:i/>
          <w:iCs/>
          <w:color w:val="000000"/>
          <w:sz w:val="15"/>
          <w:szCs w:val="15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3"/>
        <w:gridCol w:w="3654"/>
        <w:gridCol w:w="4261"/>
        <w:gridCol w:w="9492"/>
      </w:tblGrid>
      <w:tr w:rsidR="00FD4A50" w:rsidRPr="00FD4A50" w:rsidTr="00FD4A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FD4A50" w:rsidRPr="00FD4A50" w:rsidTr="00FD4A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FD4A50" w:rsidRPr="00FD4A50" w:rsidTr="00FD4A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+359 037812341</w:t>
            </w:r>
          </w:p>
        </w:tc>
      </w:tr>
      <w:tr w:rsidR="00FD4A50" w:rsidRPr="00FD4A50" w:rsidTr="00FD4A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obshina_simgrad@abv.bg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+359 037812006</w:t>
            </w:r>
          </w:p>
        </w:tc>
      </w:tr>
      <w:tr w:rsidR="00FD4A50" w:rsidRPr="00FD4A50" w:rsidTr="00FD4A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FD4A50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</w:t>
              </w:r>
            </w:hyperlink>
          </w:p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FD4A50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"/>
              <w:gridCol w:w="15367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26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(URL): </w:t>
                  </w:r>
                  <w:hyperlink r:id="rId9" w:tgtFrame="_blank" w:history="1">
                    <w:r w:rsidRPr="00FD4A50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http://www.simeonovgrad.bg</w:t>
                    </w:r>
                  </w:hyperlink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9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3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електронно посредством: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73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(URL):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4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6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3"/>
        <w:gridCol w:w="2795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„РЕКОНСТРУКЦИЯ И РЕХАБИЛИТАЦИЯ НА УЛ. “ САН СТЕФАНО”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9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Настоящата обществена поръчка има за цел да се избере изпълнител, който да изпълни предвидените в инвестиционните проекти, част от настоящата документация, строително-монтажни работи (СМР).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Изпълнението на проекта цели да се извърши реконструкция и рехабилитация на участък от ул. “ Сан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Стефано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” в гр. Симеоновград, с дължина 979м.</w:t>
            </w: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II.1.5) Прогнозна обща стойност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802512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не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9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18"/>
                    <w:gridCol w:w="223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1" w:type="dxa"/>
                          <w:left w:w="71" w:type="dxa"/>
                          <w:bottom w:w="71" w:type="dxa"/>
                          <w:right w:w="71" w:type="dxa"/>
                        </w:tcMar>
                        <w:vAlign w:val="bottom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1" w:type="dxa"/>
                          <w:left w:w="71" w:type="dxa"/>
                          <w:bottom w:w="71" w:type="dxa"/>
                          <w:right w:w="71" w:type="dxa"/>
                        </w:tcMar>
                        <w:vAlign w:val="bottom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FD4A5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3"/>
              <w:gridCol w:w="11267"/>
            </w:tblGrid>
            <w:tr w:rsidR="00FD4A50" w:rsidRPr="00FD4A50" w:rsidTr="00FD4A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 </w:t>
                  </w: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гр.Симеоновград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FD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Дължината на участъка от улица „Сан </w:t>
                  </w:r>
                  <w:proofErr w:type="spellStart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Стефано</w:t>
                  </w:r>
                  <w:proofErr w:type="spellEnd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“ предмет на настоящата обществена поръчка е 979м. С оглед на това, че пътното платно е силно амортизирано се налага в </w:t>
                  </w:r>
                  <w:proofErr w:type="spellStart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по-голяматаси</w:t>
                  </w:r>
                  <w:proofErr w:type="spellEnd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част пътната настилка да бъде </w:t>
                  </w:r>
                  <w:proofErr w:type="spellStart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цялосто</w:t>
                  </w:r>
                  <w:proofErr w:type="spellEnd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подменена, като </w:t>
                  </w:r>
                  <w:proofErr w:type="spellStart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нивелетното</w:t>
                  </w:r>
                  <w:proofErr w:type="spellEnd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решение е съобразено със съществуващата регулация, прилежащите имоти и пресечните й улици. Запазва се двустранния напречен наклон, като надлъжните наклони варират с възможно най-малки </w:t>
                  </w:r>
                  <w:proofErr w:type="spellStart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нивелетни</w:t>
                  </w:r>
                  <w:proofErr w:type="spellEnd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разлики. Предвиден е цялостен ремонт на тротоарното пространство и подмяна на бордюрите. В участъка ще бъде положена нова хоризонтална маркировка и пътни знаци. Предвижда се направа на нови </w:t>
                  </w:r>
                  <w:proofErr w:type="spellStart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дъждоприемни</w:t>
                  </w:r>
                  <w:proofErr w:type="spellEnd"/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оттоци.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5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1" w:type="dxa"/>
                          <w:left w:w="71" w:type="dxa"/>
                          <w:bottom w:w="71" w:type="dxa"/>
                          <w:right w:w="71" w:type="dxa"/>
                        </w:tcMar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II.2.5) Критерии за възлагане</w:t>
                        </w: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FD4A50" w:rsidRPr="00FD4A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D4A50" w:rsidRPr="00FD4A50" w:rsidRDefault="00FD4A50" w:rsidP="00FD4A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1" w:type="dxa"/>
                          <w:left w:w="71" w:type="dxa"/>
                          <w:bottom w:w="71" w:type="dxa"/>
                          <w:right w:w="71" w:type="dxa"/>
                        </w:tcMar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77"/>
                          <w:gridCol w:w="4220"/>
                        </w:tblGrid>
                        <w:tr w:rsidR="00FD4A50" w:rsidRPr="00FD4A50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1" w:type="dxa"/>
                                <w:left w:w="71" w:type="dxa"/>
                                <w:bottom w:w="71" w:type="dxa"/>
                                <w:right w:w="71" w:type="dxa"/>
                              </w:tcMar>
                              <w:hideMark/>
                            </w:tcPr>
                            <w:p w:rsidR="00FD4A50" w:rsidRPr="00FD4A50" w:rsidRDefault="00FD4A50" w:rsidP="00FD4A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Критерий за качество: 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20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FD4A50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1" w:type="dxa"/>
                                <w:left w:w="71" w:type="dxa"/>
                                <w:bottom w:w="71" w:type="dxa"/>
                                <w:right w:w="71" w:type="dxa"/>
                              </w:tcMar>
                              <w:hideMark/>
                            </w:tcPr>
                            <w:p w:rsidR="00FD4A50" w:rsidRPr="00FD4A50" w:rsidRDefault="00FD4A50" w:rsidP="00FD4A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FD4A50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Работна програма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FD4A50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  <w:t>Име: </w:t>
                              </w:r>
                              <w:r w:rsidRPr="00FD4A50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Срок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FD4A50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10</w:t>
                              </w:r>
                            </w:p>
                          </w:tc>
                        </w:tr>
                        <w:tr w:rsidR="00FD4A50" w:rsidRPr="00FD4A50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1" w:type="dxa"/>
                                <w:left w:w="71" w:type="dxa"/>
                                <w:bottom w:w="71" w:type="dxa"/>
                                <w:right w:w="71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FD4A50" w:rsidRPr="00FD4A5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D4A50" w:rsidRPr="00FD4A50" w:rsidRDefault="00FD4A50" w:rsidP="00FD4A5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FD4A5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FD4A50" w:rsidRPr="00FD4A50" w:rsidRDefault="00FD4A50" w:rsidP="00FD4A50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1" w:type="dxa"/>
                                <w:left w:w="71" w:type="dxa"/>
                                <w:bottom w:w="71" w:type="dxa"/>
                                <w:right w:w="71" w:type="dxa"/>
                              </w:tcMar>
                              <w:hideMark/>
                            </w:tcPr>
                            <w:p w:rsidR="00FD4A50" w:rsidRPr="00FD4A50" w:rsidRDefault="00FD4A50" w:rsidP="00FD4A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Тежест: 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21</w:t>
                              </w: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FD4A50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II.2.6) Прогнозна стойност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Стойност, без да се включва ДДС: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802512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D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Продължителност в дни: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70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Описание на </w:t>
                  </w:r>
                  <w:proofErr w:type="spellStart"/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подновяванията</w:t>
                  </w:r>
                  <w:proofErr w:type="spellEnd"/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II.2.9) Информация относно ограничение за броя на </w:t>
                  </w:r>
                  <w:proofErr w:type="spellStart"/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кадидатите</w:t>
                  </w:r>
                  <w:proofErr w:type="spellEnd"/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които ще бъдат поканени </w:t>
                  </w:r>
                  <w:r w:rsidRPr="00FD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(с изключение на открити процедури)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Очакван брой кандидати: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FD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Предвиден минимален брой:  </w:t>
                  </w:r>
                  <w:r w:rsidRPr="00FD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/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Максимален брой: (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кандиадти</w:t>
                  </w:r>
                  <w:proofErr w:type="spellEnd"/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II.2.10) Информация относно вариантите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не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II.2.11) Информация относно опциите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II.2.12) Информация относно електронни каталози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D4A50" w:rsidRPr="00FD4A50" w:rsidT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III: Правна, икономическа, финансова и техническа информация </w:t>
      </w: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условията: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Участникът трябва да има регистрация в Централния професионален регистър на строителя на основание чл. 6 от Правилника за реда за вписване и водене на Централния професионален регистър на строителя. Регистрацията да отговаря на предмета на поръчката – за изпълнение на строежи от II -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ра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(втора) група, IV - та (четвърта) категория, съгласно чл. 5, ал. 6, т. 2.4.2. от Правилника за реда за вписване и водене на Централния професионален регистър на строителя (ПРВВЦПРС), във връзка с чл.137, ал.1, т.4, буква „д” от ЗУТ, а за чуждестранни лица – в аналогични регистри съгласно законодателството на държавата членка, в която са установени или на друга държава - страна по Споразумението за Европейското икономическо пространство.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III.1.2) Икономическо и финансово състояние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1. Участникът следва да притежава валидна застраховка „Професионална отговорност“ на лицето/лицата, което/които ще осъществява строителство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 за целия срок на договора, с праг не по-малък от минималните застрахователни суми за проектиране и строителство за съответната категория строеж, съгласно Наредбата за условията и реда за задължително застраховане в проектирането и строителството.2. Участниците следва да са реализирали минимален общ оборот, изчислен на база годишни обороти за последните три приключили финансови години в зависимост от датата, на която участникът е създаден или е започнал дейността си в размер не по-малък от 1 000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000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(един милион) лева.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1. Участникът, през последните 5 (пет) години, считано от датата на подаване на офертата, следва да е изпълнил строителство, идентично или сходно с предмета на настоящата обществена поръчка, на минимум 1 (един) обект, като обемът не е от значение. 2. Участникът следва да притежава валидна застраховка „Професионална отговорност“ на лицето/лицата, което/които ще осъществява строителство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 за целия срок на договора, с праг не по-малък от минималните застрахователни суми за проектиране и строителство за съответната категория строеж, съгласно Наредбата за условията и реда за задължително застраховане в проектирането и строителството. 2. Участниците следва да са реализирали минимален общ оборот, изчислен на база годишни обороти за последните три приключили финансови години в зависимост от датата, на която участникът е създаден или е започнал дейността си в размер не по-малък от 1 000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000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(един милион) лева.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III.1.3) Технически и професионални възможности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1. Участникът, през последните 5 (пет) години, считано от датата на подаване на офертата, следва да е изпълнил строителство, идентично или сходно с предмета на настоящата обществена поръчка, на минимум 1 (един) обект, като обемът не е от значение. За строителство „сходно“ с предмета на поръчката следва да се разбира: Изграждане и/или реконструкция, и/или ремонт и/или рехабилитация на пътища и/или 2. Участникът следва да разполага с персонал и/или с ръководен състав с определена професионална компетентност за изпълнението на поръчката, в това число минимум: 1) Ръководител на екип - 1 (един) брой, отговарящ на следните минимални изисквания: строителен инженер със специалност "Транспортно строителство", профил "Пътно строителство" или "Строителство на транспортни съоръжения" или еквивалентна образователна/професионална квалификация за дипломи, придобити извън Република България; професионален опит – минимум 5 години професионален опит; специфичен професионален опит – с реализиран професионален опит като Ръководител 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строителен екип при изпълнение на минимум 1 (един) изпълнен и приет от възложител строителен обект с предмет, идентичен или сходен с предмета на обществената поръчка. 2) Експерт по част „Пътна“ - 1 (един) брой, отговарящ на следните минимални изисквания: Професионална област (квалификация) – образование съгласно чл.163а, ал.4 от ЗУТ по специалност „Транспортно строителство” или „Пътно строителство” или еквивалентна. Специфичен опит – участие в екип на такава позиция в минимум 1 (един) изпълнен и приет от възложител строителен обект с предмет, идентичен или сходен с предмета на обществената поръчка и/или на пътища с еквивалентни характеристики извън страната. 3) Експерт по част „Геодезия“ - 1 (един) брой, отговарящ на следните минимални изисквания: Професионална област (квалификация) – образование съгласно чл.163а, ал.4 от ЗУТ по специалност „Геодезия” или „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Маркшайдерство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геодезия” или еквивалентна. Специфичен опит – участие в екип на такава позиция, при извършване на полско - измервателни работи в минимум 1 (един) изпълнен и приет от възложител строителен обект с предмет, идентичен или сходен с предмета на обществената поръчка и/или на пътища с еквивалентни характеристики извън страната. 4) Специалист (отговорник) „Контрол по качеството” отговарящ на следните минимални изисквания: Професионална област (квалификация) лице с опит в областта на строителството, притежаващо Удостоверение/Сертификат за преминато професионално обучение по "Контрол върху качеството на изпълнение на строителството, за съответствие на влаганите в строежите строителни продукти със съществените изисквания за безопасност" или еквивалентно за чуждестранни лица, съгласно законодателството на държавата, в която са установени; Специфичен опит – участие в екип на такава позиция, при извършване на полско - измервателни работи в минимум 1 (един) изпълнен и приет от възложител строителен обект с предмет, идентичен или сходен с предмета на обществената поръчка и/или на пътища с еквивалентни характеристики извън страната. 5) Длъжностно лице по безопасност и здраве в строителството, притежаващ актуално удостоверение за „Длъжностно лице за безопасност и здраве” съгласно Наредба № РД-07-2 от 16.12.2009 г.2.Участникът следва да разполага с инструменти, съоръжения и техническо оборудване, необходими за изпълнение на поръчката (собствено, наето или друго основание за ползване), минимум: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Асфалтополагач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– 1 бр., Пътна фреза– 1 бр., Самосвал – 2 бр., Бордови товарни автомобили – 2 бр., Валяк моторен статичен не по-малко от 11 тона – 1 бр.,Валяк с пневматични гуми – 1 бр.,Валяк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двубандажен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тандем– 2 бр.,Компресор – 1 бр.,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Фугорез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– 2 бр.,Механична четка – 1 бр.,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Автогудронатор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– 1 бр.,Багер – 1 бр.,Челен товарач – 1 бр. 3.Участникът трябва да е сертифициран в областта на строителството по стандарт: Система за управление на качеството съгласно стандарта БДС EN: ISO 9001:2015, респ. по - нов или еквивалентен с обхват сходен на предмета на обществената поръчка.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1. Участникът, през последните 5 (пет) години, считано от датата на подаване на офертата, следва да е изпълнил строителство, идентично или сходно с предмета на настоящата обществена поръчка, на минимум 1 (един) обект, като обемът не е от значение. За строителство „сходно“ с предмета на поръчката следва да се разбира: Изграждане и/или реконструкция, и/или ремонт и/или рехабилитация на пътища и/или 2. Участникът следва да разполага с персонал и/или с ръководен състав с определена професионална компетентност за изпълнението на поръчката, в това число минимум: 1) Ръководител на екип - 1 (един) брой, отговарящ на следните минимални изисквания: строителен инженер със специалност "Транспортно строителство", профил "Пътно строителство" или "Строителство на транспортни съоръжения" или еквивалентна образователна/професионална квалификация за дипломи, придобити извън Република България; професионален опит – минимум 5 години професионален опит; специфичен професионален опит – с реализиран професионален опит като Ръководител строителен екип при изпълнение на минимум 1 (един) изпълнен и приет от възложител строителен обект с предмет, идентичен или сходен с предмета на обществената поръчка. 2) Експерт по част „Пътна“ - 1 (един) брой, отговарящ на следните минимални изисквания: Професионална област (квалификация) – образование съгласно чл.163а, ал.4 от ЗУТ по специалност „Транспортно строителство” или „Пътно строителство” или еквивалентна. Специфичен опит – участие в екип на такава позиция в минимум 1 (един) изпълнен и приет от възложител строителен обект с предмет, идентичен или сходен с предмета на обществената поръчка и/или на пътища с еквивалентни характеристики извън страната. 3) Експерт по част „Геодезия“ - 1 (един) брой, отговарящ на следните минимални изисквания: Професионална област (квалификация) – образование съгласно чл.163а, ал.4 от ЗУТ по специалност „Геодезия” или „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Маркшайдерство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геодезия” или еквивалентна. Специфичен опит – участие в екип на такава позиция, при извършване на полско - измервателни работи в минимум 1 (един) изпълнен и приет от възложител строителен обект с предмет, идентичен или сходен с предмета на обществената поръчка и/или на пътища с еквивалентни характеристики извън страната. 4) Специалист (отговорник) „Контрол по качеството” отговарящ на следните минимални изисквания: Професионална област (квалификация) лице с опит в областта на строителството, притежаващо Удостоверение/Сертификат за преминато професионално обучение по "Контрол върху качеството на изпълнение на строителството, за съответствие на влаганите в строежите строителни продукти със съществените изисквания за безопасност" или еквивалентно за чуждестранни лица, съгласно законодателството на държавата, в която са установени; Специфичен опит – участие в екип на такава позиция, при извършване на полско - измервателни работи в минимум 1 (един) изпълнен и приет от възложител строителен обект с предмет, идентичен или сходен с предмета на обществената поръчка и/или на пътища с еквивалентни характеристики извън страната. 5) Длъжностно лице по безопасност и здраве в строителството, притежаващ актуално удостоверение за „Длъжностно лице за безопасност и здраве” съгласно Наредба № РД-07-2 от 16.12.2009 г.2.Участникът следва да разполага с инструменти, съоръжения и техническо оборудване, необходими за изпълнение на поръчката (собствено, наето или друго основание за ползване), минимум: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Асфалтополагач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– 1 бр., Пътна фреза– 1 бр., Самосвал – 2 бр., Бордови товарни автомобили – 2 бр., Валяк моторен статичен не по-малко от 11 тона – 1 бр.,Валяк с пневматични гуми – 1 бр.,Валяк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двубандажен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тандем– 2 бр.,Компресор – 1 бр.,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Фугорез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– 2 бр.,Механична четка – 1 бр.,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Автогудронатор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– 1 бр.,Багер – 1 бр.,Челен товарач – 1 бр.3. Участникът трябва да е сертифициран в областта на строителството по стандарт: Система за управление на качеството съгласно стандарта БДС EN: ISO 9001:2015, респ. по - нов или еквивалентен с обхват сходен на предмета на обществената поръчка.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III.1.5) Информация относно запазени поръчки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III.2) Условия във връзка с поръчката </w:t>
      </w: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III.2.1) Информация относно определена професия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поръчки за услуги)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Изпълненито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поръчката е ограничено до определена професия: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Позоваване на приложимата законова, подзаконова или административна разпоредба: 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III.2.2) Условия за изпълнение на поръчката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III.2.3) Информация относно персонала, който отговаря за изпълнението на поръчката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32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4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1" w:type="dxa"/>
                          <w:left w:w="71" w:type="dxa"/>
                          <w:bottom w:w="71" w:type="dxa"/>
                          <w:right w:w="71" w:type="dxa"/>
                        </w:tcMar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FD4A50" w:rsidRPr="00FD4A5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D4A50" w:rsidRPr="00FD4A50" w:rsidRDefault="00FD4A50" w:rsidP="00FD4A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FD4A5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1" w:type="dxa"/>
                          <w:left w:w="71" w:type="dxa"/>
                          <w:bottom w:w="71" w:type="dxa"/>
                          <w:right w:w="71" w:type="dxa"/>
                        </w:tcMar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FD4A50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0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Предвиден максимален брой участници в рамковото споразумение: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Динамичната система за покупки може да бъде използвана от допълнителни купувачи: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IV.1.5) Информация относно договаряне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състезателни процедури с договаряне)</w:t>
            </w:r>
          </w:p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използва електронен търг: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Допълнителна информация относно електронния търг: 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58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FD4A50" w:rsidRPr="00FD4A5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A50" w:rsidRPr="00FD4A50" w:rsidRDefault="00FD4A50" w:rsidP="00FD4A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D4A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(Едно от следните: Обявление за предварителна информация; Обявление на профила на купувача)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обявлението в РОП: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IV.2.2) Срок за получаване на оферти или на заявления за участие</w:t>
            </w:r>
          </w:p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Дата: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27/02/2018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IV.2.3) Прогнозна дата на изпращане на покани за търг или за участие на избраните кандидати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   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IV.2.4) Езици, на които могат да бъдат подадени офертите или заявленията за участие: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BG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IV.2.6) Минимален срок, през който 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оферентът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обвързан от офертата</w:t>
            </w:r>
          </w:p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Офертата трябва да бъде валидна до: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Продължителност в месеци: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6</w:t>
            </w:r>
          </w:p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 датата, която е посочена за дата на получаване на офертата)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IV.2.7) Условия за отваряне на офертите</w:t>
            </w:r>
          </w:p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28/02/2018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10:00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В заседателна зала №14,ет.2 в сградата на община Симеоновград,пл.Шейновски № 3, гр.Симеоновград.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Информация относно упълномощените лица и процедурата на отваряне: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Отваряне на постъпилите оферти е публично и на него могат да присъстват участниците в процедурата или техни упълномощени представители,както и представители на средствата за масово осведомяване.</w:t>
            </w:r>
          </w:p>
        </w:tc>
      </w:tr>
    </w:tbl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Това 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представялява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FD4A50" w:rsidRPr="00FD4A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Прогнозни срокове за публикуването на следващи обявления: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прилага електронно поръчване: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използва електронно фактуриране: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приема електронно заплащане: </w:t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Гаранцията за изпълнение е в размер на 5% (пет на сто) от стойността на договора без ДДС за изпълнение.Гаранцията се предоставят в една от следните форми: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- парична сума;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- банкова гаранция;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- застраховка, която обезпечава изпълнението чрез покритие на отговорността на изпълнителя.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Определеният изпълнител избира свободно формата на гаранцията за изпълнение на договора за обществена поръчка.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Когато гаранцията е представена под формата на парична сума или банкова гаранция, то тогава тя може да се предостави от името на изпълнителя за сметка на трето лице – гарант. При представяне на гаранция, в платежното нареждане или в банковата гаранция, изрично се посочва договора, за който се представя гаранцията.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Когато избраният изпълнител е обединение, което не е юридическо лице, всеки от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съдружниците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в него може да е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наредител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по банковата гаранция, съответно вносител на сумата по гаранцията или титуляр на застраховката.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Разходите по откриването и поддържането на гаранцията са за сметка на Изпълнителя. Изпълнителят трябва да предвиди и заплати своите такси по откриване и обслужване на гаранцията така, че размерът на получената от Възложителя гаранция да не бъде по-малък от определения в настоящата процедура.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Гаранцията за изпълнение под формата на: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Парична сума трябва да бъде внесена по следната сметка на възложителя:Банка ДСК- АД, клон Димитровград , сметка IBAN BG16STSA 93003300701640, банков код STSABGSF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Ако участникът, определен за изпълнител, избере да представи гаранцията за изпълнение под формата на „парична сума”, платена по банков път,документът, удостоверяващ платената гаранция, следва да бъде заверен с подпис и печат от съответната банка и да се представи в оригинал. В случай че участникът е превел парите по електронен път (електронно банкиране), той следва да завери съответния документ с подпис и печат или само с подпис, в случай че печат не се изисква.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Банкова гаранция, следва да отговаря на следните изисквания: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- Гаранцията трябва да бъде безусловна, неотменима, с възможност да се усвои изцяло или частично в зависимост от </w:t>
            </w:r>
            <w:proofErr w:type="spellStart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претендираното</w:t>
            </w:r>
            <w:proofErr w:type="spellEnd"/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обезщетение. 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договора;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- Срок на валидност както следва: 30 (тридесет) календарни дни след издаване на Разрешение за ползване.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Застраховка, която обезпечава изпълнението чрез покритие на отговорността на изпълнителя, то застраховката следва да отговаря на следните изисквания: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- Срок на валидност на застраховката е както следва: 30 (тридесет) календарни дни след издаване на Разрешение за ползване;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- застрахователната сума по застраховката следва да бъде равна на 5% (пет процента) от стойността на договора без ДДС;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- застраховката трябва да бъде сключена за конкретния договор и в полза на Община Симеоновград;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- застрахователната премия трябва да е платима еднократно.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Задържане и освобождаване на гаранцията.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Предметът на настоящата обществена поръчка включва гаранционно поддържане съгл. чл.111, ал.10 ЗОП и в съответствие с Наредба № 2/31.07.2003 г. за въвеждане в експлоатация на строежите в Република България и минималните гаранционни срокове за изпълнение на СМР, съоръжения и строителни обекти. Възложителят е определил в проекта на договор каква част от гаранцията за изпълнение е предназначена за обезпечаване на гаранционното поддържане.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Условията и сроковете за задържане или освобождаване на гаранцията за изпълнение, се урежда с договора за възлагане на обществената поръчка между възложителя и изпълнителя.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Договорът за възлагане на обществената поръчка не се сключва преди спечелилият участник да представи гаранция за изпълнение.</w:t>
            </w:r>
            <w:r w:rsidRPr="00FD4A50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Възложителят освобождава гаранцията за изпълнение, без да дължи лихви за периода, през който средствата законно са престояли при него.</w:t>
            </w:r>
          </w:p>
        </w:tc>
      </w:tr>
    </w:tbl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8"/>
      </w:tblGrid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2"/>
              <w:gridCol w:w="8076"/>
              <w:gridCol w:w="8612"/>
            </w:tblGrid>
            <w:tr w:rsidR="00FD4A50" w:rsidRPr="00FD4A5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FD4A50" w:rsidRPr="00FD4A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D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FD4A50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FD4A5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9"/>
              <w:gridCol w:w="10571"/>
              <w:gridCol w:w="6680"/>
            </w:tblGrid>
            <w:tr w:rsidR="00FD4A50" w:rsidRPr="00FD4A5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FD4A50" w:rsidRPr="00FD4A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D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D4A50">
              <w:rPr>
                <w:rFonts w:ascii="Courier New" w:eastAsia="Times New Roman" w:hAnsi="Courier New" w:cs="Courier New"/>
                <w:sz w:val="20"/>
                <w:lang w:eastAsia="bg-BG"/>
              </w:rPr>
              <w:t>Съгласно чл.197, ал.1 от ЗОП.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FD4A50" w:rsidRPr="00FD4A50" w:rsidTr="00FD4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9"/>
              <w:gridCol w:w="10571"/>
              <w:gridCol w:w="6680"/>
            </w:tblGrid>
            <w:tr w:rsidR="00FD4A50" w:rsidRPr="00FD4A5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FD4A50" w:rsidRPr="00FD4A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FD4A50" w:rsidRPr="00FD4A5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FD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  <w:vAlign w:val="center"/>
                  <w:hideMark/>
                </w:tcPr>
                <w:p w:rsidR="00FD4A50" w:rsidRPr="00FD4A50" w:rsidRDefault="00FD4A50" w:rsidP="00FD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D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D4A50" w:rsidRPr="00FD4A50" w:rsidRDefault="00FD4A50" w:rsidP="00FD4A5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VI.5) Дата на изпращане на настоящото обявление: </w:t>
      </w:r>
      <w:r w:rsidRPr="00FD4A50">
        <w:rPr>
          <w:rFonts w:ascii="Courier New" w:eastAsia="Times New Roman" w:hAnsi="Courier New" w:cs="Courier New"/>
          <w:color w:val="000000"/>
          <w:sz w:val="20"/>
          <w:lang w:eastAsia="bg-BG"/>
        </w:rPr>
        <w:t>30/01/2018</w:t>
      </w:r>
      <w:r w:rsidRPr="00FD4A50">
        <w:rPr>
          <w:rFonts w:ascii="Trebuchet MS" w:eastAsia="Times New Roman" w:hAnsi="Trebuchet MS" w:cs="Times New Roman"/>
          <w:color w:val="000000"/>
          <w:sz w:val="15"/>
          <w:lang w:eastAsia="bg-BG"/>
        </w:rPr>
        <w:t> </w:t>
      </w:r>
      <w:r w:rsidRPr="00FD4A50">
        <w:rPr>
          <w:rFonts w:ascii="Trebuchet MS" w:eastAsia="Times New Roman" w:hAnsi="Trebuchet MS" w:cs="Times New Roman"/>
          <w:i/>
          <w:iCs/>
          <w:color w:val="000000"/>
          <w:sz w:val="15"/>
          <w:lang w:eastAsia="bg-BG"/>
        </w:rPr>
        <w:t>(</w:t>
      </w:r>
      <w:proofErr w:type="spellStart"/>
      <w:r w:rsidRPr="00FD4A50">
        <w:rPr>
          <w:rFonts w:ascii="Trebuchet MS" w:eastAsia="Times New Roman" w:hAnsi="Trebuchet MS" w:cs="Times New Roman"/>
          <w:i/>
          <w:iCs/>
          <w:color w:val="000000"/>
          <w:sz w:val="15"/>
          <w:lang w:eastAsia="bg-BG"/>
        </w:rPr>
        <w:t>дд</w:t>
      </w:r>
      <w:proofErr w:type="spellEnd"/>
      <w:r w:rsidRPr="00FD4A50">
        <w:rPr>
          <w:rFonts w:ascii="Trebuchet MS" w:eastAsia="Times New Roman" w:hAnsi="Trebuchet MS" w:cs="Times New Roman"/>
          <w:i/>
          <w:iCs/>
          <w:color w:val="000000"/>
          <w:sz w:val="15"/>
          <w:lang w:eastAsia="bg-BG"/>
        </w:rPr>
        <w:t>/мм/</w:t>
      </w:r>
      <w:proofErr w:type="spellStart"/>
      <w:r w:rsidRPr="00FD4A50">
        <w:rPr>
          <w:rFonts w:ascii="Trebuchet MS" w:eastAsia="Times New Roman" w:hAnsi="Trebuchet MS" w:cs="Times New Roman"/>
          <w:i/>
          <w:iCs/>
          <w:color w:val="000000"/>
          <w:sz w:val="15"/>
          <w:lang w:eastAsia="bg-BG"/>
        </w:rPr>
        <w:t>гггг</w:t>
      </w:r>
      <w:proofErr w:type="spellEnd"/>
      <w:r w:rsidRPr="00FD4A50">
        <w:rPr>
          <w:rFonts w:ascii="Trebuchet MS" w:eastAsia="Times New Roman" w:hAnsi="Trebuchet MS" w:cs="Times New Roman"/>
          <w:i/>
          <w:iCs/>
          <w:color w:val="000000"/>
          <w:sz w:val="15"/>
          <w:lang w:eastAsia="bg-BG"/>
        </w:rPr>
        <w:t>)</w:t>
      </w:r>
    </w:p>
    <w:p w:rsidR="00FD4A50" w:rsidRPr="00FD4A50" w:rsidRDefault="00FD4A50" w:rsidP="00FD4A5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i/>
          <w:iCs/>
          <w:color w:val="000000"/>
          <w:sz w:val="15"/>
          <w:szCs w:val="15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FD4A50" w:rsidRPr="00FD4A50" w:rsidRDefault="00FD4A50" w:rsidP="00FD4A50">
      <w:pPr>
        <w:spacing w:after="0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</w:pPr>
      <w:r w:rsidRPr="00FD4A50">
        <w:rPr>
          <w:rFonts w:ascii="Trebuchet MS" w:eastAsia="Times New Roman" w:hAnsi="Trebuchet MS" w:cs="Times New Roman"/>
          <w:color w:val="000000"/>
          <w:sz w:val="15"/>
          <w:szCs w:val="15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FD4A50" w:rsidRPr="00FD4A50" w:rsidTr="00FD4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4A50" w:rsidRPr="00FD4A50" w:rsidRDefault="00FD4A50" w:rsidP="00F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CC4312" w:rsidRDefault="00CC4312"/>
    <w:sectPr w:rsidR="00CC4312" w:rsidSect="00CC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D4A50"/>
    <w:rsid w:val="00CC4312"/>
    <w:rsid w:val="00F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2"/>
  </w:style>
  <w:style w:type="paragraph" w:styleId="1">
    <w:name w:val="heading 1"/>
    <w:basedOn w:val="a"/>
    <w:link w:val="10"/>
    <w:uiPriority w:val="9"/>
    <w:qFormat/>
    <w:rsid w:val="00FD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D4A5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FD4A50"/>
  </w:style>
  <w:style w:type="character" w:customStyle="1" w:styleId="inputlabel">
    <w:name w:val="input_label"/>
    <w:basedOn w:val="a0"/>
    <w:rsid w:val="00FD4A50"/>
  </w:style>
  <w:style w:type="character" w:styleId="a3">
    <w:name w:val="Hyperlink"/>
    <w:basedOn w:val="a0"/>
    <w:uiPriority w:val="99"/>
    <w:semiHidden/>
    <w:unhideWhenUsed/>
    <w:rsid w:val="00FD4A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FD4A50"/>
  </w:style>
  <w:style w:type="paragraph" w:styleId="a5">
    <w:name w:val="Balloon Text"/>
    <w:basedOn w:val="a"/>
    <w:link w:val="a6"/>
    <w:uiPriority w:val="99"/>
    <w:semiHidden/>
    <w:unhideWhenUsed/>
    <w:rsid w:val="00FD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D4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38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33">
          <w:marLeft w:val="0"/>
          <w:marRight w:val="0"/>
          <w:marTop w:val="0"/>
          <w:marBottom w:val="141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43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42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75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707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4141</Words>
  <Characters>23610</Characters>
  <Application>Microsoft Office Word</Application>
  <DocSecurity>0</DocSecurity>
  <Lines>196</Lines>
  <Paragraphs>55</Paragraphs>
  <ScaleCrop>false</ScaleCrop>
  <Company/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2018-01-30T11:21:00Z</dcterms:created>
  <dcterms:modified xsi:type="dcterms:W3CDTF">2018-01-30T11:22:00Z</dcterms:modified>
</cp:coreProperties>
</file>