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41" w:rsidRPr="00F54241" w:rsidRDefault="00F54241" w:rsidP="00F54241">
      <w:pPr>
        <w:shd w:val="clear" w:color="auto" w:fill="F0F0F0"/>
        <w:spacing w:after="0" w:line="240" w:lineRule="auto"/>
        <w:rPr>
          <w:rFonts w:ascii="Trebuchet MS" w:eastAsia="Times New Roman" w:hAnsi="Trebuchet MS" w:cs="Times New Roman"/>
          <w:b/>
          <w:bCs/>
          <w:color w:val="000000"/>
          <w:lang w:eastAsia="bg-BG"/>
        </w:rPr>
      </w:pPr>
      <w:r w:rsidRPr="00F54241">
        <w:rPr>
          <w:rFonts w:ascii="Trebuchet MS" w:eastAsia="Times New Roman" w:hAnsi="Trebuchet MS" w:cs="Times New Roman"/>
          <w:b/>
          <w:bCs/>
          <w:color w:val="000000"/>
          <w:lang w:eastAsia="bg-BG"/>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Партида на възложителя: </w:t>
            </w:r>
            <w:r w:rsidRPr="00F54241">
              <w:rPr>
                <w:rFonts w:ascii="Courier New" w:eastAsia="Times New Roman" w:hAnsi="Courier New" w:cs="Courier New"/>
                <w:sz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Поделение:</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Изходящ номер: </w:t>
            </w:r>
            <w:r w:rsidRPr="00F54241">
              <w:rPr>
                <w:rFonts w:ascii="Courier New" w:eastAsia="Times New Roman" w:hAnsi="Courier New" w:cs="Courier New"/>
                <w:sz w:val="20"/>
                <w:lang w:eastAsia="bg-BG"/>
              </w:rPr>
              <w:t>С-1320</w:t>
            </w:r>
            <w:r w:rsidRPr="00F54241">
              <w:rPr>
                <w:rFonts w:ascii="Times New Roman" w:eastAsia="Times New Roman" w:hAnsi="Times New Roman" w:cs="Times New Roman"/>
                <w:sz w:val="24"/>
                <w:szCs w:val="24"/>
                <w:lang w:eastAsia="bg-BG"/>
              </w:rPr>
              <w:t> от дата: </w:t>
            </w:r>
            <w:r w:rsidRPr="00F54241">
              <w:rPr>
                <w:rFonts w:ascii="Courier New" w:eastAsia="Times New Roman" w:hAnsi="Courier New" w:cs="Courier New"/>
                <w:sz w:val="20"/>
                <w:lang w:eastAsia="bg-BG"/>
              </w:rPr>
              <w:t>27/03/2018</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w:t>
            </w:r>
            <w:proofErr w:type="spellStart"/>
            <w:r w:rsidRPr="00F54241">
              <w:rPr>
                <w:rFonts w:ascii="Times New Roman" w:eastAsia="Times New Roman" w:hAnsi="Times New Roman" w:cs="Times New Roman"/>
                <w:i/>
                <w:iCs/>
                <w:sz w:val="24"/>
                <w:szCs w:val="24"/>
                <w:lang w:eastAsia="bg-BG"/>
              </w:rPr>
              <w:t>дд</w:t>
            </w:r>
            <w:proofErr w:type="spellEnd"/>
            <w:r w:rsidRPr="00F54241">
              <w:rPr>
                <w:rFonts w:ascii="Times New Roman" w:eastAsia="Times New Roman" w:hAnsi="Times New Roman" w:cs="Times New Roman"/>
                <w:i/>
                <w:iCs/>
                <w:sz w:val="24"/>
                <w:szCs w:val="24"/>
                <w:lang w:eastAsia="bg-BG"/>
              </w:rPr>
              <w:t>/мм/</w:t>
            </w:r>
            <w:proofErr w:type="spellStart"/>
            <w:r w:rsidRPr="00F54241">
              <w:rPr>
                <w:rFonts w:ascii="Times New Roman" w:eastAsia="Times New Roman" w:hAnsi="Times New Roman" w:cs="Times New Roman"/>
                <w:i/>
                <w:iCs/>
                <w:sz w:val="24"/>
                <w:szCs w:val="24"/>
                <w:lang w:eastAsia="bg-BG"/>
              </w:rPr>
              <w:t>гггг</w:t>
            </w:r>
            <w:proofErr w:type="spellEnd"/>
            <w:r w:rsidRPr="00F54241">
              <w:rPr>
                <w:rFonts w:ascii="Times New Roman" w:eastAsia="Times New Roman" w:hAnsi="Times New Roman" w:cs="Times New Roman"/>
                <w:i/>
                <w:iCs/>
                <w:sz w:val="24"/>
                <w:szCs w:val="24"/>
                <w:lang w:eastAsia="bg-BG"/>
              </w:rPr>
              <w:t>)</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2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не</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Съгласен съм с </w:t>
            </w:r>
            <w:hyperlink r:id="rId4" w:tgtFrame="_blank" w:history="1">
              <w:r w:rsidRPr="00F54241">
                <w:rPr>
                  <w:rFonts w:ascii="Times New Roman" w:eastAsia="Times New Roman" w:hAnsi="Times New Roman" w:cs="Times New Roman"/>
                  <w:color w:val="0000FF"/>
                  <w:sz w:val="24"/>
                  <w:szCs w:val="24"/>
                  <w:u w:val="single"/>
                  <w:lang w:eastAsia="bg-BG"/>
                </w:rPr>
                <w:t>Общите условия</w:t>
              </w:r>
            </w:hyperlink>
            <w:r w:rsidRPr="00F54241">
              <w:rPr>
                <w:rFonts w:ascii="Times New Roman" w:eastAsia="Times New Roman" w:hAnsi="Times New Roman" w:cs="Times New Roman"/>
                <w:sz w:val="24"/>
                <w:szCs w:val="24"/>
                <w:lang w:eastAsia="bg-BG"/>
              </w:rPr>
              <w:t> на АОП за използване на услугата Електронен подател:</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Дата на изпращане на обявлението до ОВ на ЕС:</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Заведено в преписка: </w:t>
            </w:r>
            <w:r w:rsidRPr="00F54241">
              <w:rPr>
                <w:rFonts w:ascii="Courier New" w:eastAsia="Times New Roman" w:hAnsi="Courier New" w:cs="Courier New"/>
                <w:b/>
                <w:bCs/>
                <w:sz w:val="20"/>
                <w:lang w:eastAsia="bg-BG"/>
              </w:rPr>
              <w:t>00638-2018-0005</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w:t>
            </w:r>
            <w:proofErr w:type="spellStart"/>
            <w:r w:rsidRPr="00F54241">
              <w:rPr>
                <w:rFonts w:ascii="Times New Roman" w:eastAsia="Times New Roman" w:hAnsi="Times New Roman" w:cs="Times New Roman"/>
                <w:i/>
                <w:iCs/>
                <w:sz w:val="24"/>
                <w:szCs w:val="24"/>
                <w:lang w:eastAsia="bg-BG"/>
              </w:rPr>
              <w:t>nnnnn-yyyy-xxxx</w:t>
            </w:r>
            <w:proofErr w:type="spellEnd"/>
            <w:r w:rsidRPr="00F54241">
              <w:rPr>
                <w:rFonts w:ascii="Times New Roman" w:eastAsia="Times New Roman" w:hAnsi="Times New Roman" w:cs="Times New Roman"/>
                <w:i/>
                <w:iCs/>
                <w:sz w:val="24"/>
                <w:szCs w:val="24"/>
                <w:lang w:eastAsia="bg-BG"/>
              </w:rPr>
              <w:t>)</w:t>
            </w:r>
          </w:p>
        </w:tc>
      </w:tr>
    </w:tbl>
    <w:p w:rsidR="00F54241" w:rsidRPr="00F54241" w:rsidRDefault="00F54241" w:rsidP="00F54241">
      <w:pPr>
        <w:shd w:val="clear" w:color="auto" w:fill="F0F0F0"/>
        <w:spacing w:after="0"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5"/>
        <w:gridCol w:w="6331"/>
      </w:tblGrid>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90600" cy="68580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0600" cy="685800"/>
                          </a:xfrm>
                          <a:prstGeom prst="rect">
                            <a:avLst/>
                          </a:prstGeom>
                          <a:noFill/>
                          <a:ln w="9525">
                            <a:noFill/>
                            <a:miter lim="800000"/>
                            <a:headEnd/>
                            <a:tailEnd/>
                          </a:ln>
                        </pic:spPr>
                      </pic:pic>
                    </a:graphicData>
                  </a:graphic>
                </wp:inline>
              </w:drawing>
            </w:r>
          </w:p>
        </w:tc>
        <w:tc>
          <w:tcPr>
            <w:tcW w:w="0" w:type="auto"/>
            <w:hideMark/>
          </w:tcPr>
          <w:p w:rsidR="00F54241" w:rsidRPr="00F54241" w:rsidRDefault="00F54241" w:rsidP="00F54241">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F54241">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Информация и онлайн формуляри: </w:t>
            </w:r>
            <w:hyperlink r:id="rId6" w:tgtFrame="_blank" w:history="1">
              <w:r w:rsidRPr="00F54241">
                <w:rPr>
                  <w:rFonts w:ascii="Times New Roman" w:eastAsia="Times New Roman" w:hAnsi="Times New Roman" w:cs="Times New Roman"/>
                  <w:color w:val="0000FF"/>
                  <w:sz w:val="24"/>
                  <w:szCs w:val="24"/>
                  <w:u w:val="single"/>
                  <w:lang w:eastAsia="bg-BG"/>
                </w:rPr>
                <w:t>http://simap.ted.europa.eu</w:t>
              </w:r>
            </w:hyperlink>
          </w:p>
        </w:tc>
      </w:tr>
    </w:tbl>
    <w:p w:rsidR="00F54241" w:rsidRPr="00F54241" w:rsidRDefault="00F54241" w:rsidP="00F54241">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F54241">
        <w:rPr>
          <w:rFonts w:ascii="Trebuchet MS" w:eastAsia="Times New Roman" w:hAnsi="Trebuchet MS" w:cs="Times New Roman"/>
          <w:b/>
          <w:bCs/>
          <w:color w:val="000000"/>
          <w:kern w:val="36"/>
          <w:sz w:val="28"/>
          <w:szCs w:val="28"/>
          <w:lang w:eastAsia="bg-BG"/>
        </w:rPr>
        <w:t>Обявление за поръчка</w:t>
      </w:r>
    </w:p>
    <w:p w:rsidR="00F54241" w:rsidRPr="00F54241" w:rsidRDefault="00F54241" w:rsidP="00F54241">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color w:val="000000"/>
          <w:sz w:val="16"/>
          <w:szCs w:val="16"/>
          <w:lang w:eastAsia="bg-BG"/>
        </w:rPr>
        <w:t>Директива 2014/24/ЕС/ЗОП</w:t>
      </w:r>
    </w:p>
    <w:p w:rsidR="00F54241" w:rsidRPr="00F54241" w:rsidRDefault="00F54241" w:rsidP="00F54241">
      <w:pPr>
        <w:spacing w:after="0" w:line="240" w:lineRule="auto"/>
        <w:rPr>
          <w:rFonts w:ascii="Trebuchet MS" w:eastAsia="Times New Roman" w:hAnsi="Trebuchet MS" w:cs="Times New Roman"/>
          <w:b/>
          <w:bCs/>
          <w:color w:val="000000"/>
          <w:lang w:eastAsia="bg-BG"/>
        </w:rPr>
      </w:pPr>
      <w:r w:rsidRPr="00F54241">
        <w:rPr>
          <w:rFonts w:ascii="Trebuchet MS" w:eastAsia="Times New Roman" w:hAnsi="Trebuchet MS" w:cs="Times New Roman"/>
          <w:b/>
          <w:bCs/>
          <w:color w:val="000000"/>
          <w:lang w:eastAsia="bg-BG"/>
        </w:rPr>
        <w:t> Раздел I: Възлагащ орган</w:t>
      </w: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I.1) Наименование и адреси</w:t>
      </w:r>
      <w:r w:rsidRPr="00F54241">
        <w:rPr>
          <w:rFonts w:ascii="Trebuchet MS" w:eastAsia="Times New Roman" w:hAnsi="Trebuchet MS" w:cs="Times New Roman"/>
          <w:color w:val="000000"/>
          <w:sz w:val="16"/>
          <w:szCs w:val="16"/>
          <w:lang w:eastAsia="bg-BG"/>
        </w:rPr>
        <w:t> </w:t>
      </w:r>
      <w:r w:rsidRPr="00F54241">
        <w:rPr>
          <w:rFonts w:ascii="Trebuchet MS" w:eastAsia="Times New Roman" w:hAnsi="Trebuchet MS" w:cs="Times New Roman"/>
          <w:color w:val="000000"/>
          <w:sz w:val="16"/>
          <w:szCs w:val="16"/>
          <w:vertAlign w:val="superscript"/>
          <w:lang w:eastAsia="bg-BG"/>
        </w:rPr>
        <w:t>1</w:t>
      </w:r>
      <w:r w:rsidRPr="00F54241">
        <w:rPr>
          <w:rFonts w:ascii="Trebuchet MS" w:eastAsia="Times New Roman" w:hAnsi="Trebuchet MS" w:cs="Times New Roman"/>
          <w:color w:val="000000"/>
          <w:sz w:val="16"/>
          <w:szCs w:val="16"/>
          <w:lang w:eastAsia="bg-BG"/>
        </w:rPr>
        <w:t> </w:t>
      </w:r>
      <w:r w:rsidRPr="00F54241">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197"/>
        <w:gridCol w:w="3659"/>
        <w:gridCol w:w="4264"/>
        <w:gridCol w:w="9480"/>
      </w:tblGrid>
      <w:tr w:rsidR="00F54241" w:rsidRPr="00F54241" w:rsidT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Официално наименование: </w:t>
            </w:r>
            <w:r w:rsidRPr="00F54241">
              <w:rPr>
                <w:rFonts w:ascii="Courier New" w:eastAsia="Times New Roman" w:hAnsi="Courier New" w:cs="Courier New"/>
                <w:sz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Национален регистрационен номер: </w:t>
            </w:r>
            <w:r w:rsidRPr="00F54241">
              <w:rPr>
                <w:rFonts w:ascii="Courier New" w:eastAsia="Times New Roman" w:hAnsi="Courier New" w:cs="Courier New"/>
                <w:sz w:val="20"/>
                <w:lang w:eastAsia="bg-BG"/>
              </w:rPr>
              <w:t>000903729</w:t>
            </w:r>
          </w:p>
        </w:tc>
      </w:tr>
      <w:tr w:rsidR="00F54241" w:rsidRPr="00F54241" w:rsidTr="00F5424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адрес: </w:t>
            </w:r>
            <w:r w:rsidRPr="00F54241">
              <w:rPr>
                <w:rFonts w:ascii="Courier New" w:eastAsia="Times New Roman" w:hAnsi="Courier New" w:cs="Courier New"/>
                <w:sz w:val="20"/>
                <w:lang w:eastAsia="bg-BG"/>
              </w:rPr>
              <w:t>пл.Шейновски № 3</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Град: </w:t>
            </w:r>
            <w:r w:rsidRPr="00F54241">
              <w:rPr>
                <w:rFonts w:ascii="Courier New" w:eastAsia="Times New Roman" w:hAnsi="Courier New" w:cs="Courier New"/>
                <w:sz w:val="20"/>
                <w:lang w:eastAsia="bg-BG"/>
              </w:rPr>
              <w:t>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код NUTS: </w:t>
            </w:r>
            <w:r w:rsidRPr="00F54241">
              <w:rPr>
                <w:rFonts w:ascii="Courier New" w:eastAsia="Times New Roman" w:hAnsi="Courier New" w:cs="Courier New"/>
                <w:sz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код: </w:t>
            </w:r>
            <w:r w:rsidRPr="00F54241">
              <w:rPr>
                <w:rFonts w:ascii="Courier New" w:eastAsia="Times New Roman" w:hAnsi="Courier New" w:cs="Courier New"/>
                <w:sz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Държава: </w:t>
            </w:r>
            <w:r w:rsidRPr="00F54241">
              <w:rPr>
                <w:rFonts w:ascii="Courier New" w:eastAsia="Times New Roman" w:hAnsi="Courier New" w:cs="Courier New"/>
                <w:sz w:val="20"/>
                <w:lang w:eastAsia="bg-BG"/>
              </w:rPr>
              <w:t>България</w:t>
            </w:r>
          </w:p>
        </w:tc>
      </w:tr>
      <w:tr w:rsidR="00F54241" w:rsidRPr="00F54241" w:rsidT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Лице за контакт: </w:t>
            </w:r>
            <w:r w:rsidRPr="00F54241">
              <w:rPr>
                <w:rFonts w:ascii="Courier New" w:eastAsia="Times New Roman" w:hAnsi="Courier New" w:cs="Courier New"/>
                <w:sz w:val="20"/>
                <w:lang w:eastAsia="bg-BG"/>
              </w:rPr>
              <w:t>Мими Дачева, 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Телефон: </w:t>
            </w:r>
            <w:r w:rsidRPr="00F54241">
              <w:rPr>
                <w:rFonts w:ascii="Courier New" w:eastAsia="Times New Roman" w:hAnsi="Courier New" w:cs="Courier New"/>
                <w:sz w:val="20"/>
                <w:lang w:eastAsia="bg-BG"/>
              </w:rPr>
              <w:t>+359 3781-2341</w:t>
            </w:r>
          </w:p>
        </w:tc>
      </w:tr>
      <w:tr w:rsidR="00F54241" w:rsidRPr="00F54241" w:rsidT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Електронна поща: </w:t>
            </w:r>
            <w:r w:rsidRPr="00F54241">
              <w:rPr>
                <w:rFonts w:ascii="Courier New" w:eastAsia="Times New Roman" w:hAnsi="Courier New" w:cs="Courier New"/>
                <w:sz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Факс: </w:t>
            </w:r>
            <w:r w:rsidRPr="00F54241">
              <w:rPr>
                <w:rFonts w:ascii="Courier New" w:eastAsia="Times New Roman" w:hAnsi="Courier New" w:cs="Courier New"/>
                <w:sz w:val="20"/>
                <w:lang w:eastAsia="bg-BG"/>
              </w:rPr>
              <w:t>+359 3781-2006</w:t>
            </w:r>
          </w:p>
        </w:tc>
      </w:tr>
      <w:tr w:rsidR="00F54241" w:rsidRPr="00F54241" w:rsidTr="00F5424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Интернет адрес/и</w:t>
            </w:r>
          </w:p>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Основен адрес: </w:t>
            </w:r>
            <w:r w:rsidRPr="00F54241">
              <w:rPr>
                <w:rFonts w:ascii="Times New Roman" w:eastAsia="Times New Roman" w:hAnsi="Times New Roman" w:cs="Times New Roman"/>
                <w:i/>
                <w:iCs/>
                <w:sz w:val="24"/>
                <w:szCs w:val="24"/>
                <w:lang w:eastAsia="bg-BG"/>
              </w:rPr>
              <w:t>(URL)</w:t>
            </w:r>
            <w:r w:rsidRPr="00F54241">
              <w:rPr>
                <w:rFonts w:ascii="Times New Roman" w:eastAsia="Times New Roman" w:hAnsi="Times New Roman" w:cs="Times New Roman"/>
                <w:sz w:val="24"/>
                <w:szCs w:val="24"/>
                <w:lang w:eastAsia="bg-BG"/>
              </w:rPr>
              <w:t> </w:t>
            </w:r>
            <w:hyperlink r:id="rId7" w:tgtFrame="_blank" w:history="1">
              <w:r w:rsidRPr="00F54241">
                <w:rPr>
                  <w:rFonts w:ascii="Courier New" w:eastAsia="Times New Roman" w:hAnsi="Courier New" w:cs="Courier New"/>
                  <w:color w:val="0000FF"/>
                  <w:sz w:val="20"/>
                  <w:u w:val="single"/>
                  <w:lang w:eastAsia="bg-BG"/>
                </w:rPr>
                <w:t>http://www.simeonovgrad.bg/</w:t>
              </w:r>
            </w:hyperlink>
          </w:p>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Адрес на профила на купувача: </w:t>
            </w:r>
            <w:r w:rsidRPr="00F54241">
              <w:rPr>
                <w:rFonts w:ascii="Times New Roman" w:eastAsia="Times New Roman" w:hAnsi="Times New Roman" w:cs="Times New Roman"/>
                <w:i/>
                <w:iCs/>
                <w:sz w:val="24"/>
                <w:szCs w:val="24"/>
                <w:lang w:eastAsia="bg-BG"/>
              </w:rPr>
              <w:t>(URL)</w:t>
            </w:r>
            <w:r w:rsidRPr="00F54241">
              <w:rPr>
                <w:rFonts w:ascii="Times New Roman" w:eastAsia="Times New Roman" w:hAnsi="Times New Roman" w:cs="Times New Roman"/>
                <w:sz w:val="24"/>
                <w:szCs w:val="24"/>
                <w:lang w:eastAsia="bg-BG"/>
              </w:rPr>
              <w:t> </w:t>
            </w:r>
            <w:hyperlink r:id="rId8" w:tgtFrame="_blank" w:history="1">
              <w:r w:rsidRPr="00F54241">
                <w:rPr>
                  <w:rFonts w:ascii="Courier New" w:eastAsia="Times New Roman" w:hAnsi="Courier New" w:cs="Courier New"/>
                  <w:color w:val="0000FF"/>
                  <w:sz w:val="20"/>
                  <w:u w:val="single"/>
                  <w:lang w:eastAsia="bg-BG"/>
                </w:rPr>
                <w:t>http://www.simeonovgrad.bg/profilebuyer</w:t>
              </w:r>
            </w:hyperlink>
          </w:p>
        </w:tc>
      </w:tr>
    </w:tbl>
    <w:p w:rsidR="00F54241" w:rsidRPr="00F54241" w:rsidRDefault="00F54241" w:rsidP="00F54241">
      <w:pPr>
        <w:spacing w:after="0" w:line="240" w:lineRule="auto"/>
        <w:rPr>
          <w:rFonts w:ascii="Trebuchet MS" w:eastAsia="Times New Roman" w:hAnsi="Trebuchet MS" w:cs="Times New Roman"/>
          <w:color w:val="000000"/>
          <w:sz w:val="16"/>
          <w:szCs w:val="16"/>
          <w:lang w:eastAsia="bg-BG"/>
        </w:rPr>
      </w:pP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I.2) Съвместно възлагане</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F54241" w:rsidRPr="00F54241">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Поръчката обхваща съвместно възлагане: </w:t>
                  </w:r>
                  <w:r w:rsidRPr="00F54241">
                    <w:rPr>
                      <w:rFonts w:ascii="Courier New" w:eastAsia="Times New Roman" w:hAnsi="Courier New" w:cs="Courier New"/>
                      <w:sz w:val="20"/>
                      <w:lang w:eastAsia="bg-BG"/>
                    </w:rPr>
                    <w:t>НЕ</w:t>
                  </w:r>
                </w:p>
              </w:tc>
            </w:tr>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F54241" w:rsidRPr="00F54241">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Поръчката се възлага от централен орган за покупки: </w:t>
                  </w:r>
                  <w:r w:rsidRPr="00F54241">
                    <w:rPr>
                      <w:rFonts w:ascii="Courier New" w:eastAsia="Times New Roman" w:hAnsi="Courier New" w:cs="Courier New"/>
                      <w:sz w:val="20"/>
                      <w:lang w:eastAsia="bg-BG"/>
                    </w:rPr>
                    <w:t>НЕ</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rebuchet MS" w:eastAsia="Times New Roman" w:hAnsi="Trebuchet MS" w:cs="Times New Roman"/>
          <w:color w:val="000000"/>
          <w:sz w:val="16"/>
          <w:szCs w:val="16"/>
          <w:lang w:eastAsia="bg-BG"/>
        </w:rPr>
      </w:pP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I.3) Комуникация </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734"/>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(URL): </w:t>
                  </w:r>
                  <w:hyperlink r:id="rId9" w:tgtFrame="_blank" w:history="1">
                    <w:r w:rsidRPr="00F54241">
                      <w:rPr>
                        <w:rFonts w:ascii="Courier New" w:eastAsia="Times New Roman" w:hAnsi="Courier New" w:cs="Courier New"/>
                        <w:color w:val="0000FF"/>
                        <w:sz w:val="20"/>
                        <w:u w:val="single"/>
                        <w:lang w:eastAsia="bg-BG"/>
                      </w:rPr>
                      <w:t>http://www.simeonovgrad.bg/</w:t>
                    </w:r>
                  </w:hyperlink>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47"/>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Горепосоченото/</w:t>
                        </w:r>
                        <w:proofErr w:type="spellStart"/>
                        <w:r w:rsidRPr="00F54241">
                          <w:rPr>
                            <w:rFonts w:ascii="Times New Roman" w:eastAsia="Times New Roman" w:hAnsi="Times New Roman" w:cs="Times New Roman"/>
                            <w:sz w:val="24"/>
                            <w:szCs w:val="24"/>
                            <w:lang w:eastAsia="bg-BG"/>
                          </w:rPr>
                          <w:t>ите</w:t>
                        </w:r>
                        <w:proofErr w:type="spellEnd"/>
                        <w:r w:rsidRPr="00F54241">
                          <w:rPr>
                            <w:rFonts w:ascii="Times New Roman" w:eastAsia="Times New Roman" w:hAnsi="Times New Roman" w:cs="Times New Roman"/>
                            <w:sz w:val="24"/>
                            <w:szCs w:val="24"/>
                            <w:lang w:eastAsia="bg-BG"/>
                          </w:rPr>
                          <w:t xml:space="preserve"> място/места за контакт</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921"/>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Горепосоченото/</w:t>
                        </w:r>
                        <w:proofErr w:type="spellStart"/>
                        <w:r w:rsidRPr="00F54241">
                          <w:rPr>
                            <w:rFonts w:ascii="Times New Roman" w:eastAsia="Times New Roman" w:hAnsi="Times New Roman" w:cs="Times New Roman"/>
                            <w:sz w:val="24"/>
                            <w:szCs w:val="24"/>
                            <w:lang w:eastAsia="bg-BG"/>
                          </w:rPr>
                          <w:t>ите</w:t>
                        </w:r>
                        <w:proofErr w:type="spellEnd"/>
                        <w:r w:rsidRPr="00F54241">
                          <w:rPr>
                            <w:rFonts w:ascii="Times New Roman" w:eastAsia="Times New Roman" w:hAnsi="Times New Roman" w:cs="Times New Roman"/>
                            <w:sz w:val="24"/>
                            <w:szCs w:val="24"/>
                            <w:lang w:eastAsia="bg-BG"/>
                          </w:rPr>
                          <w:t xml:space="preserve"> място/места за контакт</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електронно посредством: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t>  </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8881"/>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t> (URL):</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rebuchet MS" w:eastAsia="Times New Roman" w:hAnsi="Trebuchet MS" w:cs="Times New Roman"/>
          <w:color w:val="000000"/>
          <w:sz w:val="16"/>
          <w:szCs w:val="16"/>
          <w:lang w:eastAsia="bg-BG"/>
        </w:rPr>
      </w:pP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I.4) Вид на възлагащия орган</w:t>
      </w:r>
      <w:r w:rsidRPr="00F54241">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Регионален или местен орган</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rebuchet MS" w:eastAsia="Times New Roman" w:hAnsi="Trebuchet MS" w:cs="Times New Roman"/>
          <w:color w:val="000000"/>
          <w:sz w:val="16"/>
          <w:szCs w:val="16"/>
          <w:lang w:eastAsia="bg-BG"/>
        </w:rPr>
      </w:pP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I.5) Основна дейност</w:t>
      </w:r>
      <w:r w:rsidRPr="00F54241">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Общи обществени услуги</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rebuchet MS" w:eastAsia="Times New Roman" w:hAnsi="Trebuchet MS" w:cs="Times New Roman"/>
          <w:b/>
          <w:bCs/>
          <w:color w:val="000000"/>
          <w:lang w:eastAsia="bg-BG"/>
        </w:rPr>
      </w:pPr>
      <w:r w:rsidRPr="00F54241">
        <w:rPr>
          <w:rFonts w:ascii="Trebuchet MS" w:eastAsia="Times New Roman" w:hAnsi="Trebuchet MS" w:cs="Times New Roman"/>
          <w:b/>
          <w:bCs/>
          <w:color w:val="000000"/>
          <w:lang w:eastAsia="bg-BG"/>
        </w:rPr>
        <w:t>Раздел II: Предмет</w:t>
      </w: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II.1) Обхват на обществената поръчка</w:t>
      </w:r>
    </w:p>
    <w:tbl>
      <w:tblPr>
        <w:tblW w:w="21600" w:type="dxa"/>
        <w:tblCellMar>
          <w:top w:w="15" w:type="dxa"/>
          <w:left w:w="15" w:type="dxa"/>
          <w:bottom w:w="15" w:type="dxa"/>
          <w:right w:w="15" w:type="dxa"/>
        </w:tblCellMar>
        <w:tblLook w:val="04A0"/>
      </w:tblPr>
      <w:tblGrid>
        <w:gridCol w:w="19887"/>
        <w:gridCol w:w="1879"/>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II.1.1) Наименование</w:t>
            </w:r>
            <w:r w:rsidRPr="00F54241">
              <w:rPr>
                <w:rFonts w:ascii="Times New Roman" w:eastAsia="Times New Roman" w:hAnsi="Times New Roman" w:cs="Times New Roman"/>
                <w:sz w:val="24"/>
                <w:szCs w:val="24"/>
                <w:lang w:eastAsia="bg-BG"/>
              </w:rPr>
              <w:t>: </w:t>
            </w:r>
            <w:r w:rsidRPr="00F54241">
              <w:rPr>
                <w:rFonts w:ascii="Courier New" w:eastAsia="Times New Roman" w:hAnsi="Courier New" w:cs="Courier New"/>
                <w:sz w:val="20"/>
                <w:lang w:eastAsia="bg-BG"/>
              </w:rPr>
              <w:t>Упражняване на строителен надзор при изпълнението на СМР по проект „Рехабилитация и реконструкция на уличната мрежа и прилежащите съоръжения в населените места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Референтен номер: </w:t>
            </w:r>
            <w:r w:rsidRPr="00F54241">
              <w:rPr>
                <w:rFonts w:ascii="Times New Roman" w:eastAsia="Times New Roman" w:hAnsi="Times New Roman" w:cs="Times New Roman"/>
                <w:sz w:val="24"/>
                <w:szCs w:val="24"/>
                <w:vertAlign w:val="superscript"/>
                <w:lang w:eastAsia="bg-BG"/>
              </w:rPr>
              <w:t>2</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II.1.2) Основен CPV код</w:t>
            </w:r>
            <w:r w:rsidRPr="00F54241">
              <w:rPr>
                <w:rFonts w:ascii="Times New Roman" w:eastAsia="Times New Roman" w:hAnsi="Times New Roman" w:cs="Times New Roman"/>
                <w:sz w:val="24"/>
                <w:szCs w:val="24"/>
                <w:lang w:eastAsia="bg-BG"/>
              </w:rPr>
              <w:t>: </w:t>
            </w:r>
            <w:r w:rsidRPr="00F54241">
              <w:rPr>
                <w:rFonts w:ascii="Courier New" w:eastAsia="Times New Roman" w:hAnsi="Courier New" w:cs="Courier New"/>
                <w:sz w:val="20"/>
                <w:lang w:eastAsia="bg-BG"/>
              </w:rPr>
              <w:t>71521000</w:t>
            </w:r>
            <w:r w:rsidRPr="00F54241">
              <w:rPr>
                <w:rFonts w:ascii="Times New Roman" w:eastAsia="Times New Roman" w:hAnsi="Times New Roman" w:cs="Times New Roman"/>
                <w:sz w:val="24"/>
                <w:szCs w:val="24"/>
                <w:lang w:eastAsia="bg-BG"/>
              </w:rPr>
              <w:t>      Допълнителен CPV код: </w:t>
            </w:r>
            <w:r w:rsidRPr="00F54241">
              <w:rPr>
                <w:rFonts w:ascii="Times New Roman" w:eastAsia="Times New Roman" w:hAnsi="Times New Roman" w:cs="Times New Roman"/>
                <w:sz w:val="24"/>
                <w:szCs w:val="24"/>
                <w:vertAlign w:val="superscript"/>
                <w:lang w:eastAsia="bg-BG"/>
              </w:rPr>
              <w:t>1</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17"/>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b/>
                      <w:bCs/>
                      <w:sz w:val="24"/>
                      <w:szCs w:val="24"/>
                      <w:lang w:eastAsia="bg-BG"/>
                    </w:rPr>
                    <w:t>II.1.3) Вид на поръчка</w:t>
                  </w:r>
                  <w:r w:rsidRPr="00F54241">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834"/>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Услуги</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II.1.4) Кратко описание</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В обхвата на обществената поръчка се включват дейностите по упражняване на строителен надзор по време на строителството, съгласно чл.166, ал. 1, т .1 от ЗУТ в задължителния обхват, регламентиран в чл.168, ал. 1, ал. 3 и ал. 6 от ЗУТ.</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II.1.5) Прогнозна обща стойност</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br/>
              <w:t>Стойност, без да се включва ДДС: </w:t>
            </w:r>
            <w:r w:rsidRPr="00F54241">
              <w:rPr>
                <w:rFonts w:ascii="Courier New" w:eastAsia="Times New Roman" w:hAnsi="Courier New" w:cs="Courier New"/>
                <w:sz w:val="20"/>
                <w:lang w:eastAsia="bg-BG"/>
              </w:rPr>
              <w:t>33120.35</w:t>
            </w:r>
            <w:r w:rsidRPr="00F54241">
              <w:rPr>
                <w:rFonts w:ascii="Times New Roman" w:eastAsia="Times New Roman" w:hAnsi="Times New Roman" w:cs="Times New Roman"/>
                <w:sz w:val="24"/>
                <w:szCs w:val="24"/>
                <w:lang w:eastAsia="bg-BG"/>
              </w:rPr>
              <w:t>      Валута: </w:t>
            </w:r>
            <w:r w:rsidRPr="00F54241">
              <w:rPr>
                <w:rFonts w:ascii="Courier New" w:eastAsia="Times New Roman" w:hAnsi="Courier New" w:cs="Courier New"/>
                <w:sz w:val="20"/>
                <w:lang w:eastAsia="bg-BG"/>
              </w:rPr>
              <w:t>BGN</w:t>
            </w:r>
            <w:r w:rsidRPr="00F54241">
              <w:rPr>
                <w:rFonts w:ascii="Times New Roman" w:eastAsia="Times New Roman" w:hAnsi="Times New Roman" w:cs="Times New Roman"/>
                <w:sz w:val="24"/>
                <w:szCs w:val="24"/>
                <w:lang w:eastAsia="bg-BG"/>
              </w:rPr>
              <w:br/>
            </w:r>
            <w:r w:rsidRPr="00F54241">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sz w:val="24"/>
                      <w:szCs w:val="24"/>
                      <w:lang w:eastAsia="bg-BG"/>
                    </w:rPr>
                    <w:lastRenderedPageBreak/>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не</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tblPr>
            <w:tblGrid>
              <w:gridCol w:w="4413"/>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926"/>
                    <w:gridCol w:w="231"/>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18"/>
                <w:lang w:eastAsia="bg-BG"/>
              </w:rPr>
              <w:lastRenderedPageBreak/>
              <w:t>II.2) Описание </w:t>
            </w:r>
            <w:r w:rsidRPr="00F54241">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0260"/>
              <w:gridCol w:w="1134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II.2.1) Наименование</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Обособена позиция номер: </w:t>
                  </w:r>
                  <w:r w:rsidRPr="00F54241">
                    <w:rPr>
                      <w:rFonts w:ascii="Times New Roman" w:eastAsia="Times New Roman" w:hAnsi="Times New Roman" w:cs="Times New Roman"/>
                      <w:sz w:val="24"/>
                      <w:szCs w:val="24"/>
                      <w:vertAlign w:val="superscript"/>
                      <w:lang w:eastAsia="bg-BG"/>
                    </w:rPr>
                    <w:t>2</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II.2.2) Допълнителни CPV кодове </w:t>
                  </w:r>
                  <w:r w:rsidRPr="00F54241">
                    <w:rPr>
                      <w:rFonts w:ascii="Times New Roman" w:eastAsia="Times New Roman" w:hAnsi="Times New Roman" w:cs="Times New Roman"/>
                      <w:b/>
                      <w:bCs/>
                      <w:sz w:val="24"/>
                      <w:szCs w:val="24"/>
                      <w:vertAlign w:val="superscript"/>
                      <w:lang w:eastAsia="bg-BG"/>
                    </w:rPr>
                    <w:t>2</w:t>
                  </w:r>
                  <w:r w:rsidRPr="00F54241">
                    <w:rPr>
                      <w:rFonts w:ascii="Times New Roman" w:eastAsia="Times New Roman" w:hAnsi="Times New Roman" w:cs="Times New Roman"/>
                      <w:sz w:val="24"/>
                      <w:szCs w:val="24"/>
                      <w:lang w:eastAsia="bg-BG"/>
                    </w:rPr>
                    <w:br/>
                    <w:t>Основен CPV код: </w:t>
                  </w:r>
                  <w:r w:rsidRPr="00F54241">
                    <w:rPr>
                      <w:rFonts w:ascii="Times New Roman" w:eastAsia="Times New Roman" w:hAnsi="Times New Roman" w:cs="Times New Roman"/>
                      <w:sz w:val="24"/>
                      <w:szCs w:val="24"/>
                      <w:vertAlign w:val="superscript"/>
                      <w:lang w:eastAsia="bg-BG"/>
                    </w:rPr>
                    <w:t>1</w:t>
                  </w:r>
                  <w:r w:rsidRPr="00F54241">
                    <w:rPr>
                      <w:rFonts w:ascii="Times New Roman" w:eastAsia="Times New Roman" w:hAnsi="Times New Roman" w:cs="Times New Roman"/>
                      <w:sz w:val="24"/>
                      <w:szCs w:val="24"/>
                      <w:lang w:eastAsia="bg-BG"/>
                    </w:rPr>
                    <w:t> </w:t>
                  </w:r>
                  <w:r w:rsidRPr="00F54241">
                    <w:rPr>
                      <w:rFonts w:ascii="Courier New" w:eastAsia="Times New Roman" w:hAnsi="Courier New" w:cs="Courier New"/>
                      <w:sz w:val="20"/>
                      <w:lang w:eastAsia="bg-BG"/>
                    </w:rPr>
                    <w:t>71521000</w:t>
                  </w:r>
                  <w:r w:rsidRPr="00F54241">
                    <w:rPr>
                      <w:rFonts w:ascii="Times New Roman" w:eastAsia="Times New Roman" w:hAnsi="Times New Roman" w:cs="Times New Roman"/>
                      <w:sz w:val="24"/>
                      <w:szCs w:val="24"/>
                      <w:lang w:eastAsia="bg-BG"/>
                    </w:rPr>
                    <w:t>      Допълнителен CPV код: </w:t>
                  </w:r>
                  <w:r w:rsidRPr="00F54241">
                    <w:rPr>
                      <w:rFonts w:ascii="Times New Roman" w:eastAsia="Times New Roman" w:hAnsi="Times New Roman" w:cs="Times New Roman"/>
                      <w:sz w:val="24"/>
                      <w:szCs w:val="24"/>
                      <w:vertAlign w:val="superscript"/>
                      <w:lang w:eastAsia="bg-BG"/>
                    </w:rPr>
                    <w:t>1</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t> </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II.2.3) Място на изпълнение</w:t>
                  </w:r>
                  <w:r w:rsidRPr="00F54241">
                    <w:rPr>
                      <w:rFonts w:ascii="Times New Roman" w:eastAsia="Times New Roman" w:hAnsi="Times New Roman" w:cs="Times New Roman"/>
                      <w:sz w:val="24"/>
                      <w:szCs w:val="24"/>
                      <w:lang w:eastAsia="bg-BG"/>
                    </w:rPr>
                    <w:br/>
                    <w:t>код NUTS: </w:t>
                  </w:r>
                  <w:r w:rsidRPr="00F54241">
                    <w:rPr>
                      <w:rFonts w:ascii="Times New Roman" w:eastAsia="Times New Roman" w:hAnsi="Times New Roman" w:cs="Times New Roman"/>
                      <w:sz w:val="24"/>
                      <w:szCs w:val="24"/>
                      <w:vertAlign w:val="superscript"/>
                      <w:lang w:eastAsia="bg-BG"/>
                    </w:rPr>
                    <w:t>1</w:t>
                  </w:r>
                  <w:r w:rsidRPr="00F54241">
                    <w:rPr>
                      <w:rFonts w:ascii="Times New Roman" w:eastAsia="Times New Roman" w:hAnsi="Times New Roman" w:cs="Times New Roman"/>
                      <w:sz w:val="24"/>
                      <w:szCs w:val="24"/>
                      <w:lang w:eastAsia="bg-BG"/>
                    </w:rPr>
                    <w:t> </w:t>
                  </w:r>
                  <w:r w:rsidRPr="00F54241">
                    <w:rPr>
                      <w:rFonts w:ascii="Courier New" w:eastAsia="Times New Roman" w:hAnsi="Courier New" w:cs="Courier New"/>
                      <w:sz w:val="20"/>
                      <w:lang w:eastAsia="bg-BG"/>
                    </w:rPr>
                    <w:t>BG422</w:t>
                  </w:r>
                  <w:r w:rsidRPr="00F54241">
                    <w:rPr>
                      <w:rFonts w:ascii="Times New Roman" w:eastAsia="Times New Roman" w:hAnsi="Times New Roman" w:cs="Times New Roman"/>
                      <w:sz w:val="24"/>
                      <w:szCs w:val="24"/>
                      <w:lang w:eastAsia="bg-BG"/>
                    </w:rPr>
                    <w:br/>
                    <w:t>Основно място на изпълнение: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Република България, община Симеоновград</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II.2.4) Описание на обществената поръчка</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В съответствие с изискванията на Наредба № 3 от 2003 г. за съставяне на актове и протоколи по време на строителството изпълнителят следва да: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Участва в съставяне на протокол за предаване и приемане на одобрения инвестиционен проект и разрешение за строеж за изпълнение на конкретния строеж;</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Съставя протокол за откриване на строителна площадка и определяне на строителна линия и ниво на строежа, при влязло в сила Разрешение за строеж. В 3 дневен срок от съставянето на този протокол заверява Заповедна книга на строежа, а в 7 дневен срок от заверката уведомява писмено общината, специализираните контролни органи и Регионална дирекция за национален строителен контрол (РДНСЛ) за заверената книга (когато това се изисква от нормативен акт);</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xml:space="preserve">- Подписва всички актове и протоколи по време на строителството, които се съставят по реда на действащото законодателство, за които е </w:t>
                  </w:r>
                  <w:proofErr w:type="spellStart"/>
                  <w:r w:rsidRPr="00F54241">
                    <w:rPr>
                      <w:rFonts w:ascii="Courier New" w:eastAsia="Times New Roman" w:hAnsi="Courier New" w:cs="Courier New"/>
                      <w:sz w:val="20"/>
                      <w:lang w:eastAsia="bg-BG"/>
                    </w:rPr>
                    <w:t>оправомощен</w:t>
                  </w:r>
                  <w:proofErr w:type="spellEnd"/>
                  <w:r w:rsidRPr="00F54241">
                    <w:rPr>
                      <w:rFonts w:ascii="Courier New" w:eastAsia="Times New Roman" w:hAnsi="Courier New" w:cs="Courier New"/>
                      <w:sz w:val="20"/>
                      <w:lang w:eastAsia="bg-BG"/>
                    </w:rPr>
                    <w:t xml:space="preserve"> да бъде съставител, или лице извършило проверка, или лице в присъствието на което е съставен документът;</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Да съставя и организира подаването от името на Възложителя на всички необходими документи, искания, заявления, и други документи пред компетентните органи, с оглед осъществяване на инвестиционния процес без прекъсване;</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Да изготви и представи на окончателен доклад по смисъла на чл. 168, ал. 6 от ЗУТ, изготвен в съответствие с Наредба №2 от 31.07.2003 г. за въвеждане в експлоатация на строежите в Република България и минималните гаранционни срокове за изпълнени СМР, съоръжение и строителни обекти.</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Дейностите в обхвата на поръчката ще се изпълняват по отношение на строително монтажни работи, свързани с реконструкция и рехабилитация на улици и тротоари на обект, втора група, IV (четвърта) категория строежи със следните подобекти:</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xml:space="preserve">- улица ”Иван Арнаудов” има </w:t>
                  </w:r>
                  <w:proofErr w:type="spellStart"/>
                  <w:r w:rsidRPr="00F54241">
                    <w:rPr>
                      <w:rFonts w:ascii="Courier New" w:eastAsia="Times New Roman" w:hAnsi="Courier New" w:cs="Courier New"/>
                      <w:sz w:val="20"/>
                      <w:lang w:eastAsia="bg-BG"/>
                    </w:rPr>
                    <w:t>дирекна</w:t>
                  </w:r>
                  <w:proofErr w:type="spellEnd"/>
                  <w:r w:rsidRPr="00F54241">
                    <w:rPr>
                      <w:rFonts w:ascii="Courier New" w:eastAsia="Times New Roman" w:hAnsi="Courier New" w:cs="Courier New"/>
                      <w:sz w:val="20"/>
                      <w:lang w:eastAsia="bg-BG"/>
                    </w:rPr>
                    <w:t xml:space="preserve"> връзка с път ІІІ – 554. Разглежданият участък е с дължина 432 м, квадратура на уличната настилка 2 858 м2 и прилежаща тротоарна настилка 1 403 м2.;</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xml:space="preserve">- улица “Барон </w:t>
                  </w:r>
                  <w:proofErr w:type="spellStart"/>
                  <w:r w:rsidRPr="00F54241">
                    <w:rPr>
                      <w:rFonts w:ascii="Courier New" w:eastAsia="Times New Roman" w:hAnsi="Courier New" w:cs="Courier New"/>
                      <w:sz w:val="20"/>
                      <w:lang w:eastAsia="bg-BG"/>
                    </w:rPr>
                    <w:t>Хирш</w:t>
                  </w:r>
                  <w:proofErr w:type="spellEnd"/>
                  <w:r w:rsidRPr="00F54241">
                    <w:rPr>
                      <w:rFonts w:ascii="Courier New" w:eastAsia="Times New Roman" w:hAnsi="Courier New" w:cs="Courier New"/>
                      <w:sz w:val="20"/>
                      <w:lang w:eastAsia="bg-BG"/>
                    </w:rPr>
                    <w:t xml:space="preserve">” има </w:t>
                  </w:r>
                  <w:proofErr w:type="spellStart"/>
                  <w:r w:rsidRPr="00F54241">
                    <w:rPr>
                      <w:rFonts w:ascii="Courier New" w:eastAsia="Times New Roman" w:hAnsi="Courier New" w:cs="Courier New"/>
                      <w:sz w:val="20"/>
                      <w:lang w:eastAsia="bg-BG"/>
                    </w:rPr>
                    <w:t>дирекна</w:t>
                  </w:r>
                  <w:proofErr w:type="spellEnd"/>
                  <w:r w:rsidRPr="00F54241">
                    <w:rPr>
                      <w:rFonts w:ascii="Courier New" w:eastAsia="Times New Roman" w:hAnsi="Courier New" w:cs="Courier New"/>
                      <w:sz w:val="20"/>
                      <w:lang w:eastAsia="bg-BG"/>
                    </w:rPr>
                    <w:t xml:space="preserve"> връзка с път ІІІ – 554. Участъкът е с обща дължина 528м и квадратура на уличната настилка 4 113 м2, като прилежащата тротоарна настилка е с площ 1 731 м2.;</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xml:space="preserve">- улица “Родопи” има </w:t>
                  </w:r>
                  <w:proofErr w:type="spellStart"/>
                  <w:r w:rsidRPr="00F54241">
                    <w:rPr>
                      <w:rFonts w:ascii="Courier New" w:eastAsia="Times New Roman" w:hAnsi="Courier New" w:cs="Courier New"/>
                      <w:sz w:val="20"/>
                      <w:lang w:eastAsia="bg-BG"/>
                    </w:rPr>
                    <w:t>дирекна</w:t>
                  </w:r>
                  <w:proofErr w:type="spellEnd"/>
                  <w:r w:rsidRPr="00F54241">
                    <w:rPr>
                      <w:rFonts w:ascii="Courier New" w:eastAsia="Times New Roman" w:hAnsi="Courier New" w:cs="Courier New"/>
                      <w:sz w:val="20"/>
                      <w:lang w:eastAsia="bg-BG"/>
                    </w:rPr>
                    <w:t xml:space="preserve"> връзка с четвъртокласен път ІV – 8007 който излиза на път ІІІ – 554. Разглеждания участък е с дължина 627 м е с квадратура на уличната настилка 4 212 м2 и прилежаща тротоарна настилка с площ от 2 075 м2.;</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xml:space="preserve">- улица “Васил Левски” има </w:t>
                  </w:r>
                  <w:proofErr w:type="spellStart"/>
                  <w:r w:rsidRPr="00F54241">
                    <w:rPr>
                      <w:rFonts w:ascii="Courier New" w:eastAsia="Times New Roman" w:hAnsi="Courier New" w:cs="Courier New"/>
                      <w:sz w:val="20"/>
                      <w:lang w:eastAsia="bg-BG"/>
                    </w:rPr>
                    <w:t>дирекна</w:t>
                  </w:r>
                  <w:proofErr w:type="spellEnd"/>
                  <w:r w:rsidRPr="00F54241">
                    <w:rPr>
                      <w:rFonts w:ascii="Courier New" w:eastAsia="Times New Roman" w:hAnsi="Courier New" w:cs="Courier New"/>
                      <w:sz w:val="20"/>
                      <w:lang w:eastAsia="bg-BG"/>
                    </w:rPr>
                    <w:t xml:space="preserve"> връзка с път ІІІ – 503. Разглежданият участък е с дължина 992 м е с квадратура на уличната настилка 7 392 м2 и прилежаща тротоарна настилка с площ от 3 809 м2.</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170"/>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b/>
                            <w:bCs/>
                            <w:sz w:val="24"/>
                            <w:szCs w:val="24"/>
                            <w:lang w:eastAsia="bg-BG"/>
                          </w:rPr>
                          <w:t>II.2.5) Критерии за възлагане</w:t>
                        </w:r>
                        <w:r w:rsidRPr="00F54241">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2169"/>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Критериите по-долу</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tblPr>
                        <w:tblGrid>
                          <w:gridCol w:w="3485"/>
                          <w:gridCol w:w="1429"/>
                        </w:tblGrid>
                        <w:tr w:rsidR="00F54241" w:rsidRPr="00F54241">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Критерий за качество: </w:t>
                              </w:r>
                              <w:r w:rsidRPr="00F54241">
                                <w:rPr>
                                  <w:rFonts w:ascii="Times New Roman" w:eastAsia="Times New Roman" w:hAnsi="Times New Roman" w:cs="Times New Roman"/>
                                  <w:sz w:val="24"/>
                                  <w:szCs w:val="24"/>
                                  <w:vertAlign w:val="superscript"/>
                                  <w:lang w:eastAsia="bg-BG"/>
                                </w:rPr>
                                <w:t>1</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20</w:t>
                              </w:r>
                              <w:r w:rsidRPr="00F54241">
                                <w:rPr>
                                  <w:rFonts w:ascii="Times New Roman" w:eastAsia="Times New Roman" w:hAnsi="Times New Roman" w:cs="Times New Roman"/>
                                  <w:sz w:val="24"/>
                                  <w:szCs w:val="24"/>
                                  <w:lang w:eastAsia="bg-BG"/>
                                </w:rPr>
                                <w:t> </w:t>
                              </w:r>
                              <w:r w:rsidRPr="00F54241">
                                <w:rPr>
                                  <w:rFonts w:ascii="Courier New" w:eastAsia="Times New Roman" w:hAnsi="Courier New" w:cs="Courier New"/>
                                  <w:sz w:val="20"/>
                                  <w:lang w:eastAsia="bg-BG"/>
                                </w:rPr>
                                <w:t>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 </w:t>
                              </w:r>
                            </w:p>
                          </w:tc>
                        </w:tr>
                        <w:tr w:rsidR="00F54241" w:rsidRPr="00F54241">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Цена</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Тежест: </w:t>
                              </w:r>
                              <w:r w:rsidRPr="00F54241">
                                <w:rPr>
                                  <w:rFonts w:ascii="Times New Roman" w:eastAsia="Times New Roman" w:hAnsi="Times New Roman" w:cs="Times New Roman"/>
                                  <w:sz w:val="24"/>
                                  <w:szCs w:val="24"/>
                                  <w:vertAlign w:val="superscript"/>
                                  <w:lang w:eastAsia="bg-BG"/>
                                </w:rPr>
                                <w:t>21</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II.2.6) Прогнозна стойност</w:t>
                  </w:r>
                  <w:r w:rsidRPr="00F54241">
                    <w:rPr>
                      <w:rFonts w:ascii="Times New Roman" w:eastAsia="Times New Roman" w:hAnsi="Times New Roman" w:cs="Times New Roman"/>
                      <w:sz w:val="24"/>
                      <w:szCs w:val="24"/>
                      <w:lang w:eastAsia="bg-BG"/>
                    </w:rPr>
                    <w:br/>
                    <w:t>Стойност, без да се включва ДДС: </w:t>
                  </w:r>
                  <w:r w:rsidRPr="00F54241">
                    <w:rPr>
                      <w:rFonts w:ascii="Courier New" w:eastAsia="Times New Roman" w:hAnsi="Courier New" w:cs="Courier New"/>
                      <w:sz w:val="20"/>
                      <w:lang w:eastAsia="bg-BG"/>
                    </w:rPr>
                    <w:t>33120.35</w:t>
                  </w:r>
                  <w:r w:rsidRPr="00F54241">
                    <w:rPr>
                      <w:rFonts w:ascii="Times New Roman" w:eastAsia="Times New Roman" w:hAnsi="Times New Roman" w:cs="Times New Roman"/>
                      <w:sz w:val="24"/>
                      <w:szCs w:val="24"/>
                      <w:lang w:eastAsia="bg-BG"/>
                    </w:rPr>
                    <w:t>      Валута: </w:t>
                  </w:r>
                  <w:r w:rsidRPr="00F54241">
                    <w:rPr>
                      <w:rFonts w:ascii="Courier New" w:eastAsia="Times New Roman" w:hAnsi="Courier New" w:cs="Courier New"/>
                      <w:sz w:val="20"/>
                      <w:lang w:eastAsia="bg-BG"/>
                    </w:rPr>
                    <w:t>BGN</w:t>
                  </w:r>
                  <w:r w:rsidRPr="00F54241">
                    <w:rPr>
                      <w:rFonts w:ascii="Times New Roman" w:eastAsia="Times New Roman" w:hAnsi="Times New Roman" w:cs="Times New Roman"/>
                      <w:sz w:val="24"/>
                      <w:szCs w:val="24"/>
                      <w:lang w:eastAsia="bg-BG"/>
                    </w:rPr>
                    <w:br/>
                  </w:r>
                  <w:r w:rsidRPr="00F54241">
                    <w:rPr>
                      <w:rFonts w:ascii="Times New Roman" w:eastAsia="Times New Roman" w:hAnsi="Times New Roman" w:cs="Times New Roman"/>
                      <w:i/>
                      <w:iCs/>
                      <w:sz w:val="24"/>
                      <w:szCs w:val="24"/>
                      <w:lang w:eastAsia="bg-BG"/>
                    </w:rPr>
                    <w:lastRenderedPageBreak/>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b/>
                      <w:bCs/>
                      <w:sz w:val="24"/>
                      <w:szCs w:val="24"/>
                      <w:lang w:eastAsia="bg-BG"/>
                    </w:rPr>
                    <w:lastRenderedPageBreak/>
                    <w:t>II.2.7) Продължителност на поръчката, рамковото споразумение или динамичната система за покупки</w:t>
                  </w:r>
                  <w:r w:rsidRPr="00F54241">
                    <w:rPr>
                      <w:rFonts w:ascii="Times New Roman" w:eastAsia="Times New Roman" w:hAnsi="Times New Roman" w:cs="Times New Roman"/>
                      <w:sz w:val="24"/>
                      <w:szCs w:val="24"/>
                      <w:lang w:eastAsia="bg-BG"/>
                    </w:rPr>
                    <w:br/>
                    <w:t>Продължителност в дни: </w:t>
                  </w:r>
                  <w:r w:rsidRPr="00F54241">
                    <w:rPr>
                      <w:rFonts w:ascii="Courier New" w:eastAsia="Times New Roman" w:hAnsi="Courier New" w:cs="Courier New"/>
                      <w:sz w:val="20"/>
                      <w:lang w:eastAsia="bg-BG"/>
                    </w:rPr>
                    <w:t>180</w:t>
                  </w:r>
                  <w:r w:rsidRPr="00F54241">
                    <w:rPr>
                      <w:rFonts w:ascii="Times New Roman" w:eastAsia="Times New Roman" w:hAnsi="Times New Roman" w:cs="Times New Roman"/>
                      <w:sz w:val="24"/>
                      <w:szCs w:val="24"/>
                      <w:lang w:eastAsia="bg-BG"/>
                    </w:rPr>
                    <w:br/>
                  </w:r>
                  <w:r w:rsidRPr="00F54241">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не</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br/>
                    <w:t xml:space="preserve">Описание на </w:t>
                  </w:r>
                  <w:proofErr w:type="spellStart"/>
                  <w:r w:rsidRPr="00F54241">
                    <w:rPr>
                      <w:rFonts w:ascii="Times New Roman" w:eastAsia="Times New Roman" w:hAnsi="Times New Roman" w:cs="Times New Roman"/>
                      <w:sz w:val="24"/>
                      <w:szCs w:val="24"/>
                      <w:lang w:eastAsia="bg-BG"/>
                    </w:rPr>
                    <w:t>подновяванията</w:t>
                  </w:r>
                  <w:proofErr w:type="spellEnd"/>
                  <w:r w:rsidRPr="00F54241">
                    <w:rPr>
                      <w:rFonts w:ascii="Times New Roman" w:eastAsia="Times New Roman" w:hAnsi="Times New Roman" w:cs="Times New Roman"/>
                      <w:sz w:val="24"/>
                      <w:szCs w:val="24"/>
                      <w:lang w:eastAsia="bg-BG"/>
                    </w:rPr>
                    <w:t>: </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 xml:space="preserve">II.2.9) Информация относно ограничение за броя на </w:t>
                  </w:r>
                  <w:proofErr w:type="spellStart"/>
                  <w:r w:rsidRPr="00F54241">
                    <w:rPr>
                      <w:rFonts w:ascii="Times New Roman" w:eastAsia="Times New Roman" w:hAnsi="Times New Roman" w:cs="Times New Roman"/>
                      <w:b/>
                      <w:bCs/>
                      <w:sz w:val="24"/>
                      <w:szCs w:val="24"/>
                      <w:lang w:eastAsia="bg-BG"/>
                    </w:rPr>
                    <w:t>кадидатите</w:t>
                  </w:r>
                  <w:proofErr w:type="spellEnd"/>
                  <w:r w:rsidRPr="00F54241">
                    <w:rPr>
                      <w:rFonts w:ascii="Times New Roman" w:eastAsia="Times New Roman" w:hAnsi="Times New Roman" w:cs="Times New Roman"/>
                      <w:b/>
                      <w:bCs/>
                      <w:sz w:val="24"/>
                      <w:szCs w:val="24"/>
                      <w:lang w:eastAsia="bg-BG"/>
                    </w:rPr>
                    <w:t>, които ще бъдат поканени </w:t>
                  </w:r>
                  <w:r w:rsidRPr="00F54241">
                    <w:rPr>
                      <w:rFonts w:ascii="Times New Roman" w:eastAsia="Times New Roman" w:hAnsi="Times New Roman" w:cs="Times New Roman"/>
                      <w:i/>
                      <w:iCs/>
                      <w:sz w:val="24"/>
                      <w:szCs w:val="24"/>
                      <w:lang w:eastAsia="bg-BG"/>
                    </w:rPr>
                    <w:t>(с изключение на открити процедури)</w:t>
                  </w:r>
                  <w:r w:rsidRPr="00F54241">
                    <w:rPr>
                      <w:rFonts w:ascii="Times New Roman" w:eastAsia="Times New Roman" w:hAnsi="Times New Roman" w:cs="Times New Roman"/>
                      <w:sz w:val="24"/>
                      <w:szCs w:val="24"/>
                      <w:lang w:eastAsia="bg-BG"/>
                    </w:rPr>
                    <w:br/>
                    <w:t>Очакван брой кандидати: </w:t>
                  </w:r>
                  <w:r w:rsidRPr="00F54241">
                    <w:rPr>
                      <w:rFonts w:ascii="Times New Roman" w:eastAsia="Times New Roman" w:hAnsi="Times New Roman" w:cs="Times New Roman"/>
                      <w:sz w:val="24"/>
                      <w:szCs w:val="24"/>
                      <w:lang w:eastAsia="bg-BG"/>
                    </w:rPr>
                    <w:br/>
                  </w:r>
                  <w:r w:rsidRPr="00F54241">
                    <w:rPr>
                      <w:rFonts w:ascii="Times New Roman" w:eastAsia="Times New Roman" w:hAnsi="Times New Roman" w:cs="Times New Roman"/>
                      <w:i/>
                      <w:iCs/>
                      <w:sz w:val="24"/>
                      <w:szCs w:val="24"/>
                      <w:lang w:eastAsia="bg-BG"/>
                    </w:rPr>
                    <w:t>или</w:t>
                  </w:r>
                  <w:r w:rsidRPr="00F54241">
                    <w:rPr>
                      <w:rFonts w:ascii="Times New Roman" w:eastAsia="Times New Roman" w:hAnsi="Times New Roman" w:cs="Times New Roman"/>
                      <w:sz w:val="24"/>
                      <w:szCs w:val="24"/>
                      <w:lang w:eastAsia="bg-BG"/>
                    </w:rPr>
                    <w:t> Предвиден минимален брой:  </w:t>
                  </w:r>
                  <w:r w:rsidRPr="00F54241">
                    <w:rPr>
                      <w:rFonts w:ascii="Times New Roman" w:eastAsia="Times New Roman" w:hAnsi="Times New Roman" w:cs="Times New Roman"/>
                      <w:i/>
                      <w:iCs/>
                      <w:sz w:val="24"/>
                      <w:szCs w:val="24"/>
                      <w:lang w:eastAsia="bg-BG"/>
                    </w:rPr>
                    <w:t>/</w:t>
                  </w:r>
                  <w:r w:rsidRPr="00F54241">
                    <w:rPr>
                      <w:rFonts w:ascii="Times New Roman" w:eastAsia="Times New Roman" w:hAnsi="Times New Roman" w:cs="Times New Roman"/>
                      <w:sz w:val="24"/>
                      <w:szCs w:val="24"/>
                      <w:lang w:eastAsia="bg-BG"/>
                    </w:rPr>
                    <w:t> Максимален брой: (</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F54241">
                    <w:rPr>
                      <w:rFonts w:ascii="Times New Roman" w:eastAsia="Times New Roman" w:hAnsi="Times New Roman" w:cs="Times New Roman"/>
                      <w:sz w:val="24"/>
                      <w:szCs w:val="24"/>
                      <w:lang w:eastAsia="bg-BG"/>
                    </w:rPr>
                    <w:t>кандиадти</w:t>
                  </w:r>
                  <w:proofErr w:type="spellEnd"/>
                  <w:r w:rsidRPr="00F54241">
                    <w:rPr>
                      <w:rFonts w:ascii="Times New Roman" w:eastAsia="Times New Roman" w:hAnsi="Times New Roman" w:cs="Times New Roman"/>
                      <w:sz w:val="24"/>
                      <w:szCs w:val="24"/>
                      <w:lang w:eastAsia="bg-BG"/>
                    </w:rPr>
                    <w:t>: </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b/>
                      <w:bCs/>
                      <w:sz w:val="24"/>
                      <w:szCs w:val="24"/>
                      <w:lang w:eastAsia="bg-BG"/>
                    </w:rPr>
                    <w:t>II.2.10) Информация относно вариантите</w:t>
                  </w:r>
                  <w:r w:rsidRPr="00F54241">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не</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b/>
                      <w:bCs/>
                      <w:sz w:val="24"/>
                      <w:szCs w:val="24"/>
                      <w:lang w:eastAsia="bg-BG"/>
                    </w:rPr>
                    <w:t>II.2.11) Информация относно опциите</w:t>
                  </w:r>
                  <w:r w:rsidRPr="00F54241">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2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не</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br/>
                    <w:t>Описание на опциите: </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II.2.12) Информация относно електронни каталози</w:t>
                  </w:r>
                  <w:r w:rsidRPr="00F54241">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F54241">
                    <w:rPr>
                      <w:rFonts w:ascii="Courier New" w:eastAsia="Times New Roman" w:hAnsi="Courier New" w:cs="Courier New"/>
                      <w:sz w:val="20"/>
                      <w:lang w:eastAsia="bg-BG"/>
                    </w:rPr>
                    <w:t>НЕ</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b/>
                      <w:bCs/>
                      <w:sz w:val="24"/>
                      <w:szCs w:val="24"/>
                      <w:lang w:eastAsia="bg-BG"/>
                    </w:rPr>
                    <w:t>II.2.13) Информация относно средства от Европейския съюз</w:t>
                  </w:r>
                  <w:r w:rsidRPr="00F54241">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19"/>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да</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Идентификация на проекта: </w:t>
                  </w:r>
                  <w:r w:rsidRPr="00F54241">
                    <w:rPr>
                      <w:rFonts w:ascii="Courier New" w:eastAsia="Times New Roman" w:hAnsi="Courier New" w:cs="Courier New"/>
                      <w:sz w:val="20"/>
                      <w:lang w:eastAsia="bg-BG"/>
                    </w:rPr>
                    <w:t>договор № 26/07/2/0/00136/23.11.2017г. за безвъзмездна финансова помощ по ПРСР 2014-2020г.</w:t>
                  </w:r>
                </w:p>
              </w:tc>
            </w:tr>
            <w:tr w:rsidR="00F54241" w:rsidRPr="00F54241" w:rsidT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II.2.14) Допълнителна информация</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 xml:space="preserve">Финансирането на обществената поръчка е осигурено въз основа на договор № 26/07/2/0/00136/23.11.2017г. за безвъзмездна финансова помощ по Програмата за развитие на селските райони 2014г.-2020г., Мярка 7 „Основни услуги и обновяване на селата в селските райони“, </w:t>
                  </w:r>
                  <w:proofErr w:type="spellStart"/>
                  <w:r w:rsidRPr="00F54241">
                    <w:rPr>
                      <w:rFonts w:ascii="Courier New" w:eastAsia="Times New Roman" w:hAnsi="Courier New" w:cs="Courier New"/>
                      <w:sz w:val="20"/>
                      <w:lang w:eastAsia="bg-BG"/>
                    </w:rPr>
                    <w:t>Подмярка</w:t>
                  </w:r>
                  <w:proofErr w:type="spellEnd"/>
                  <w:r w:rsidRPr="00F54241">
                    <w:rPr>
                      <w:rFonts w:ascii="Courier New" w:eastAsia="Times New Roman" w:hAnsi="Courier New" w:cs="Courier New"/>
                      <w:sz w:val="20"/>
                      <w:lang w:eastAsia="bg-BG"/>
                    </w:rPr>
                    <w:t xml:space="preserve"> 7.2 „Инвестиции в създаването, подобряването или разширяването на всички видове малка по мащаби инфраструктура“</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rebuchet MS" w:eastAsia="Times New Roman" w:hAnsi="Trebuchet MS" w:cs="Times New Roman"/>
          <w:b/>
          <w:bCs/>
          <w:color w:val="000000"/>
          <w:lang w:eastAsia="bg-BG"/>
        </w:rPr>
      </w:pPr>
      <w:r w:rsidRPr="00F54241">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III.1) Условия за участие</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Списък и кратко описание на условията: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 xml:space="preserve">Участникът трябва да притежават валиден Лиценз за извършване на дейностите по чл. 166, ал. 1, т. 1 от ЗУТ, издаден от министъра на регионалното развитие и благоустройството (параграф 128 от Преходни и заключителни разпоредби на ЗИДЗУТ) или валидно Удостоверение за извършване на дейностите по чл. 166, ал. 1, т. 1 от ЗУТ, издадено от началника на Дирекцията за национален строителен контрол (ДНСК), съобразно изискванията на чл. 166, ал. 2 и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лица регистрирани на територията на Република България или еквивалентен документ за чуждестранни участници, удостоверяващ правото да извършват такава дейност, издаден от компетентен орган на държава-членка на Европейския съюз или на друга държава-страна по Споразумението за Европейско икономическо </w:t>
            </w:r>
            <w:proofErr w:type="spellStart"/>
            <w:r w:rsidRPr="00F54241">
              <w:rPr>
                <w:rFonts w:ascii="Courier New" w:eastAsia="Times New Roman" w:hAnsi="Courier New" w:cs="Courier New"/>
                <w:sz w:val="20"/>
                <w:lang w:eastAsia="bg-BG"/>
              </w:rPr>
              <w:t>пространствоо</w:t>
            </w:r>
            <w:proofErr w:type="spellEnd"/>
            <w:r w:rsidRPr="00F54241">
              <w:rPr>
                <w:rFonts w:ascii="Courier New" w:eastAsia="Times New Roman" w:hAnsi="Courier New" w:cs="Courier New"/>
                <w:sz w:val="20"/>
                <w:lang w:eastAsia="bg-BG"/>
              </w:rPr>
              <w:t>.</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ДОКАЗВАНЕ: При подаване на офертата участникът декларира съответствие с изискването, като посочи в Част IV, раздел А, т.1) от ЕЕДОП вида, номера и дата на валидност на документа, а за чуждестранни лица аналогична информация за съответен еквивалентен документ удостоверяващ правото на съответното лице (съгласно националното му законодателство) да изпълни предмета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lastRenderedPageBreak/>
              <w:t>При условията на чл. 67, ал. 5 от ЗОП възложителят може да изиска документи, чрез които се доказва декларираната в ЕЕДОП информация - копие на валиден Лиценз за извършване на дейностите по чл. 166, ал. 1, т. 1 от ЗУТ, издаден от министъра на регионалното развитие и благоустройството или валидно Удостоверение за извършване на дейностите по чл. 166, ал. 1, т. 1 от ЗУТ, издадено от началника на Дирекцията за национален строителен контрол (ДНСК) или еквивалентен документ за чуждестранни участници, удостоверяващ правото да извършват такава дейност, издаден от компетентен орган на държава-членка на Европейския съюз или на друга държава-страна по Споразумението за Европейско икономическо пространство.</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условията на чл. 67, ал. 6 от ЗОП,преди сключване на договора, определения изпълнител представя документите по предходното изречение (ако не са били представени по реда на чл. 67, ал. 5 от ЗОП). В случай че определения изпълнител е чуждестранен участник, той трябва да представи документ, с който да докаже, че има право да изпълнява възлаганата дейност в Република България, вкл. че е извършил регистрация в съответствие с чл. 167 от Закона за устройство на територията и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упражняват строителен надзор, съобразно разпределението на участието на лицата при изпълнение на дейностите, предвидено в договора за създаване на обединение.</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lastRenderedPageBreak/>
              <w:t>III.1.2) Икономическо и финансово състояние</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Списък и кратко описание на критериите за подбор: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1. При подаване на офертата участникът декларира съответствие с поставеното изискване по т.1, като попълва в част IV, раздел Б, т.5) от ЕЕДОП, като посочи застрахователната сума на сключената застраховка „Професионална отговорност“, както и номер и валидност на същата.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условията на чл. 67, ал. 5 от ЗОП възложителят може да изиска документи, чрез които се доказва декларираната в ЕЕДОП информация - копие на документи доказващ наличие на застраховка “Професионална отговорност”.</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условията на чл. 67, ал. 6 от ЗОП, преди сключване на договора, определения изпълнител представя документите по предходното изречение (ако не са били представени по реда на чл. 67, ал. 5 от ЗОП).</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строителен надзор, съобразно разпределението на участието на лицата при изпълнение на дейностите, предвидено в договора за създаване на обединение.</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Изисквано минимално/ни ниво/а:</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1. Участникът трябва да има валидна застраховка „Професионална отговорност” съгласно чл. 171, ал. 1 от ЗУТ с минимална застрахователна сума, съгласно чл. 5, ал. 4 от Наредбата за условията и реда за задължително застраховане в проектирането и строителство за строежи втора група, четвърта категория или еквивалентна за участник – чуждестранно лице съгласно законодателство на държавата в която е установен.</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III.1.3) Технически и професионални възможности</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Списък и кратко описание на критериите за подбор: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1. При подаване на офертата участникът декларира съответствие с поставеното изискване по т.1, чрез попълване на Част IV, раздел В, т. 1б) от ЕЕДОП, като предостави и информация за стойностите датите и получателите на услугите идентични или сходни с предмета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условията на чл. 67, ал. 5 от ЗОП възложителят може да изиска документи, чрез които се доказва декларираната в ЕЕДОП информация - Списък на услугите идентични или сходни с предмета на поръчката, изпълнени през последните 3 години, считано от датата на подаване на офертите с посочване на стойностите, датите и получателите, заедно с доказателства за извършената услуга.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xml:space="preserve">При условията </w:t>
            </w:r>
            <w:proofErr w:type="spellStart"/>
            <w:r w:rsidRPr="00F54241">
              <w:rPr>
                <w:rFonts w:ascii="Courier New" w:eastAsia="Times New Roman" w:hAnsi="Courier New" w:cs="Courier New"/>
                <w:sz w:val="20"/>
                <w:lang w:eastAsia="bg-BG"/>
              </w:rPr>
              <w:t>начл</w:t>
            </w:r>
            <w:proofErr w:type="spellEnd"/>
            <w:r w:rsidRPr="00F54241">
              <w:rPr>
                <w:rFonts w:ascii="Courier New" w:eastAsia="Times New Roman" w:hAnsi="Courier New" w:cs="Courier New"/>
                <w:sz w:val="20"/>
                <w:lang w:eastAsia="bg-BG"/>
              </w:rPr>
              <w:t>. 67, ал. 6 от ЗОП,преди сключване на договора, определения изпълнител представя документите по предходното изречение (ако не са били представени по реда на чл. 67, ал. 5 от ЗОП).</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участие на обединения, които не са юридически лица, съответствието с критерия за подбор се доказва от обединението участник като цяло.</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2. При подаване на офертата участникът декларира съответствие с поставеното изискване по т.2, чрез представяне на ЕЕДОП, като посочи лицата от ръководния екип, които ще изпълняват поръчката в това число:</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Специалист/експерт (трите имена и позиция (длъжност), която ще заема лицето при изпълнение на обществената поръчка);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Образование (специалност, професионална квалификация, година на дипломиране, № на диплома, учебно заведение);</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Допълнителна квалификация (направление, година на придобиване, № на издадения документ, издател);</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Професионален опит (месторабота, период, длъжност, основни функции, участие в проекти/обекти, сходни с предмета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Информацията за лицата от екипа, който са служители на участника, се попълва в Част IV, раздел буква В, т. 6) от ЕЕДОП.</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Информацията за лицата, който не са служители на участника, се попълва в Част IV, раздел буква В, т. 2) от ЕЕДОП.</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условията на чл. 67, ал. 5 от ЗОП възложителят може да изиска документи, чрез които се доказва декларираната в ЕЕДОП информация - Списък на членовете на ръководния състав, които ще отговарят за изпълнението, в който е посочена професионална компетентност на лицата. При условията на чл. 67, ал. 6 от ЗОП, преди сключване на договора, определеният изпълнител представя документите по предходното изречение (ако не са били представени по реда на чл. 67, ал. 5 от ЗОП).</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При участие на обединения, които не са юридически лица, съответствието с критерия за подбор се доказва от обединението участник като цяло.</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Изисквано минимално/ни ниво/а:</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 xml:space="preserve">1. През последните три години, считано от датата на подаване на офертата, участникът трябва да е изпълнил поне една услуга идентична или сходна с предмета на поръчката. Под „услуга идентична или сходна с предмета на поръчката“ следва да се разбира </w:t>
            </w:r>
            <w:proofErr w:type="spellStart"/>
            <w:r w:rsidRPr="00F54241">
              <w:rPr>
                <w:rFonts w:ascii="Courier New" w:eastAsia="Times New Roman" w:hAnsi="Courier New" w:cs="Courier New"/>
                <w:sz w:val="20"/>
                <w:lang w:eastAsia="bg-BG"/>
              </w:rPr>
              <w:t>консултанска</w:t>
            </w:r>
            <w:proofErr w:type="spellEnd"/>
            <w:r w:rsidRPr="00F54241">
              <w:rPr>
                <w:rFonts w:ascii="Courier New" w:eastAsia="Times New Roman" w:hAnsi="Courier New" w:cs="Courier New"/>
                <w:sz w:val="20"/>
                <w:lang w:eastAsia="bg-BG"/>
              </w:rPr>
              <w:t xml:space="preserve"> услуга по смисъла на чл. 166, ал. 1, т. 1 от ЗУТ, упражнявана при изпълнение на строителство и/или инженеринг, свързани с изграждане и/или реконструкция и/или рехабилитация на пътна и/или улична мрежа.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2. Участникът трябва разполага със следния екип за изпълнение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Ръководител екип – строителен инженер, притежаващ минимум 5 години професионален опит и участие в изпълнението на минимум една услуга идентична или сходна с предмета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Експерт част „Пътна” – лице, участвало в изпълнението на минимум една услуга идентична или сходна с предмета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lastRenderedPageBreak/>
              <w:t>- Експерт част „Геодезия” – лице, участвало в изпълнението на минимум една услуга идентична или сходна с предмета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Експерт „Координатор по безопасност и здраве” – лице, участвало в изпълнението на минимум една услуга идентична или сходна с предмета на поръчката;</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Предложените специалисти трябва да са вписани в Списъка на екипа на правоспособните физически лица, неразделна част от Удостоверението/Лиценза за осъществяване на оценяване на съответствието на инвестиционните проекти и/или упражняване на строителен надзор.</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Под услуга идентична или сходна с предмета на поръчката, следва да се разбира услуга по смисъла на чл. 166, ал. 1, т. 1 от ЗУТ, упражнявана при изпълнение на строителство и/или инженеринг, свързани с изграждане и/или реконструкция и/или рехабилитация на пътна и/или улична мрежа.</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lastRenderedPageBreak/>
              <w:t>III.1.5) Информация относно запазени поръчки</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F54241">
              <w:rPr>
                <w:rFonts w:ascii="Courier New" w:eastAsia="Times New Roman" w:hAnsi="Courier New" w:cs="Courier New"/>
                <w:sz w:val="20"/>
                <w:lang w:eastAsia="bg-BG"/>
              </w:rPr>
              <w:t>НЕ</w:t>
            </w:r>
          </w:p>
        </w:tc>
      </w:tr>
    </w:tbl>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III.2) Условия във връзка с поръчката </w:t>
      </w:r>
      <w:r w:rsidRPr="00F54241">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III.2.1) Информация относно определена професия</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(само за поръчки за услуги)</w:t>
            </w:r>
            <w:r w:rsidRPr="00F54241">
              <w:rPr>
                <w:rFonts w:ascii="Times New Roman" w:eastAsia="Times New Roman" w:hAnsi="Times New Roman" w:cs="Times New Roman"/>
                <w:sz w:val="24"/>
                <w:szCs w:val="24"/>
                <w:lang w:eastAsia="bg-BG"/>
              </w:rPr>
              <w:br/>
            </w:r>
            <w:proofErr w:type="spellStart"/>
            <w:r w:rsidRPr="00F54241">
              <w:rPr>
                <w:rFonts w:ascii="Times New Roman" w:eastAsia="Times New Roman" w:hAnsi="Times New Roman" w:cs="Times New Roman"/>
                <w:sz w:val="24"/>
                <w:szCs w:val="24"/>
                <w:lang w:eastAsia="bg-BG"/>
              </w:rPr>
              <w:t>Изпълненито</w:t>
            </w:r>
            <w:proofErr w:type="spellEnd"/>
            <w:r w:rsidRPr="00F54241">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 </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III.2.2) Условия за изпълнение на поръчката</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1.При подписване на договора избрания изпълнител представя документ за внесена гаранция за изпълнение под формата на парична сума, оригинал на неотменяема банкова гаранция или валидна застрахователна полица в размер на 3 % от стойността на договора без ДДС.</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2. Изпълнителят има право да получи авансово плащане в размер до 50 % от стойността договора, ако е представил гаранция за авансово предоставени средства под формата на парична сума, оригинал на неотменяема банкова гаранция или валидна застрахователна полица. Гаранция за авансово предоставените средства не се представя, ако в 3-дневен срок от подписване на договора ИЗПЪЛНИТЕЛЯТ писмено заяви пред ВЪЗЛОЖИТЕЛЯ, че не желае да бъде извършвано авансово плащане.</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F54241">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F54241">
              <w:rPr>
                <w:rFonts w:ascii="Courier New" w:eastAsia="Times New Roman" w:hAnsi="Courier New" w:cs="Courier New"/>
                <w:sz w:val="20"/>
                <w:lang w:eastAsia="bg-BG"/>
              </w:rPr>
              <w:t>ДА</w:t>
            </w:r>
          </w:p>
        </w:tc>
      </w:tr>
    </w:tbl>
    <w:p w:rsidR="00F54241" w:rsidRPr="00F54241" w:rsidRDefault="00F54241" w:rsidP="00F54241">
      <w:pPr>
        <w:spacing w:after="0" w:line="240" w:lineRule="auto"/>
        <w:rPr>
          <w:rFonts w:ascii="Trebuchet MS" w:eastAsia="Times New Roman" w:hAnsi="Trebuchet MS" w:cs="Times New Roman"/>
          <w:b/>
          <w:bCs/>
          <w:color w:val="000000"/>
          <w:lang w:eastAsia="bg-BG"/>
        </w:rPr>
      </w:pPr>
      <w:r w:rsidRPr="00F54241">
        <w:rPr>
          <w:rFonts w:ascii="Trebuchet MS" w:eastAsia="Times New Roman" w:hAnsi="Trebuchet MS" w:cs="Times New Roman"/>
          <w:b/>
          <w:bCs/>
          <w:color w:val="000000"/>
          <w:lang w:eastAsia="bg-BG"/>
        </w:rPr>
        <w:t> Раздел IV:Процедура </w:t>
      </w: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IV.1) Описание</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b/>
                            <w:bCs/>
                            <w:sz w:val="20"/>
                            <w:szCs w:val="20"/>
                            <w:lang w:eastAsia="bg-BG"/>
                          </w:rPr>
                        </w:pPr>
                        <w:r w:rsidRPr="00F54241">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tblPr>
                        <w:tblGrid>
                          <w:gridCol w:w="2297"/>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Публично състезание</w:t>
                              </w:r>
                            </w:p>
                          </w:tc>
                        </w:tr>
                      </w:tbl>
                      <w:p w:rsidR="00F54241" w:rsidRPr="00F54241" w:rsidRDefault="00F54241" w:rsidP="00F54241">
                        <w:pPr>
                          <w:spacing w:after="0" w:line="240" w:lineRule="auto"/>
                          <w:rPr>
                            <w:rFonts w:ascii="Courier New" w:eastAsia="Times New Roman" w:hAnsi="Courier New" w:cs="Courier New"/>
                            <w:b/>
                            <w:bCs/>
                            <w:sz w:val="24"/>
                            <w:szCs w:val="24"/>
                            <w:lang w:eastAsia="bg-BG"/>
                          </w:rPr>
                        </w:pPr>
                      </w:p>
                    </w:tc>
                  </w:tr>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Ускорена процедура: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br/>
                          <w:t>Обосновка за избор на ускорена процедура: </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 xml:space="preserve">IV.1.3) Информация относно рамково </w:t>
            </w:r>
            <w:proofErr w:type="spellStart"/>
            <w:r w:rsidRPr="00F54241">
              <w:rPr>
                <w:rFonts w:ascii="Times New Roman" w:eastAsia="Times New Roman" w:hAnsi="Times New Roman" w:cs="Times New Roman"/>
                <w:b/>
                <w:bCs/>
                <w:sz w:val="24"/>
                <w:szCs w:val="24"/>
                <w:lang w:eastAsia="bg-BG"/>
              </w:rPr>
              <w:t>споразмение</w:t>
            </w:r>
            <w:proofErr w:type="spellEnd"/>
            <w:r w:rsidRPr="00F54241">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68"/>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F54241">
                    <w:rPr>
                      <w:rFonts w:ascii="Courier New" w:eastAsia="Times New Roman" w:hAnsi="Courier New" w:cs="Courier New"/>
                      <w:sz w:val="20"/>
                      <w:lang w:eastAsia="bg-BG"/>
                    </w:rPr>
                    <w:t>НЕ</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F54241">
                    <w:rPr>
                      <w:rFonts w:ascii="Courier New" w:eastAsia="Times New Roman" w:hAnsi="Courier New" w:cs="Courier New"/>
                      <w:sz w:val="20"/>
                      <w:lang w:eastAsia="bg-BG"/>
                    </w:rPr>
                    <w:t>НЕ</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F54241">
                    <w:rPr>
                      <w:rFonts w:ascii="Courier New" w:eastAsia="Times New Roman" w:hAnsi="Courier New" w:cs="Courier New"/>
                      <w:sz w:val="20"/>
                      <w:lang w:eastAsia="bg-BG"/>
                    </w:rPr>
                    <w:t>НЕ</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F54241">
              <w:rPr>
                <w:rFonts w:ascii="Courier New" w:eastAsia="Times New Roman" w:hAnsi="Courier New" w:cs="Courier New"/>
                <w:sz w:val="20"/>
                <w:lang w:eastAsia="bg-BG"/>
              </w:rPr>
              <w:t>НЕ</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lastRenderedPageBreak/>
              <w:t>IV.1.5) Информация относно договаряне </w:t>
            </w:r>
            <w:r w:rsidRPr="00F54241">
              <w:rPr>
                <w:rFonts w:ascii="Times New Roman" w:eastAsia="Times New Roman" w:hAnsi="Times New Roman" w:cs="Times New Roman"/>
                <w:i/>
                <w:iCs/>
                <w:sz w:val="24"/>
                <w:szCs w:val="24"/>
                <w:lang w:eastAsia="bg-BG"/>
              </w:rPr>
              <w:t>(само за състезателни процедури с договаряне)</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F54241">
              <w:rPr>
                <w:rFonts w:ascii="Courier New" w:eastAsia="Times New Roman" w:hAnsi="Courier New" w:cs="Courier New"/>
                <w:sz w:val="20"/>
                <w:lang w:eastAsia="bg-BG"/>
              </w:rPr>
              <w:t>НЕ</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IV.1.6) Информация относно електронния търг</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Ще се използва електронен търг: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br/>
              <w:t>Допълнителна информация относно електронния търг: </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66"/>
            </w:tblGrid>
            <w:tr w:rsidR="00F54241" w:rsidRPr="00F5424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не</w:t>
                        </w:r>
                      </w:p>
                    </w:tc>
                  </w:tr>
                </w:tbl>
                <w:p w:rsidR="00F54241" w:rsidRPr="00F54241" w:rsidRDefault="00F54241" w:rsidP="00F54241">
                  <w:pPr>
                    <w:spacing w:after="0" w:line="240" w:lineRule="auto"/>
                    <w:rPr>
                      <w:rFonts w:ascii="Courier New" w:eastAsia="Times New Roman" w:hAnsi="Courier New" w:cs="Courier New"/>
                      <w:sz w:val="24"/>
                      <w:szCs w:val="24"/>
                      <w:lang w:eastAsia="bg-BG"/>
                    </w:rPr>
                  </w:pP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IV.2) Административна информация</w:t>
      </w:r>
      <w:r w:rsidRPr="00F54241">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IV.2.1) Предишна публикация относно тази процедура </w:t>
            </w:r>
            <w:r w:rsidRPr="00F54241">
              <w:rPr>
                <w:rFonts w:ascii="Times New Roman" w:eastAsia="Times New Roman" w:hAnsi="Times New Roman" w:cs="Times New Roman"/>
                <w:sz w:val="24"/>
                <w:szCs w:val="24"/>
                <w:vertAlign w:val="superscript"/>
                <w:lang w:eastAsia="bg-BG"/>
              </w:rPr>
              <w:t>2</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Номер на обявлението в ОВ на ЕС: </w:t>
            </w:r>
            <w:r w:rsidRPr="00F54241">
              <w:rPr>
                <w:rFonts w:ascii="Times New Roman" w:eastAsia="Times New Roman" w:hAnsi="Times New Roman" w:cs="Times New Roman"/>
                <w:sz w:val="24"/>
                <w:szCs w:val="24"/>
                <w:lang w:eastAsia="bg-BG"/>
              </w:rPr>
              <w:br/>
            </w:r>
            <w:r w:rsidRPr="00F54241">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F54241">
              <w:rPr>
                <w:rFonts w:ascii="Times New Roman" w:eastAsia="Times New Roman" w:hAnsi="Times New Roman" w:cs="Times New Roman"/>
                <w:sz w:val="24"/>
                <w:szCs w:val="24"/>
                <w:lang w:eastAsia="bg-BG"/>
              </w:rPr>
              <w:br/>
              <w:t>Номер на обявлението в РОП:</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Дата: </w:t>
            </w:r>
            <w:r w:rsidRPr="00F54241">
              <w:rPr>
                <w:rFonts w:ascii="Courier New" w:eastAsia="Times New Roman" w:hAnsi="Courier New" w:cs="Courier New"/>
                <w:sz w:val="20"/>
                <w:lang w:eastAsia="bg-BG"/>
              </w:rPr>
              <w:t>17/04/2018</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w:t>
            </w:r>
            <w:proofErr w:type="spellStart"/>
            <w:r w:rsidRPr="00F54241">
              <w:rPr>
                <w:rFonts w:ascii="Times New Roman" w:eastAsia="Times New Roman" w:hAnsi="Times New Roman" w:cs="Times New Roman"/>
                <w:i/>
                <w:iCs/>
                <w:sz w:val="24"/>
                <w:szCs w:val="24"/>
                <w:lang w:eastAsia="bg-BG"/>
              </w:rPr>
              <w:t>дд</w:t>
            </w:r>
            <w:proofErr w:type="spellEnd"/>
            <w:r w:rsidRPr="00F54241">
              <w:rPr>
                <w:rFonts w:ascii="Times New Roman" w:eastAsia="Times New Roman" w:hAnsi="Times New Roman" w:cs="Times New Roman"/>
                <w:i/>
                <w:iCs/>
                <w:sz w:val="24"/>
                <w:szCs w:val="24"/>
                <w:lang w:eastAsia="bg-BG"/>
              </w:rPr>
              <w:t>/мм/</w:t>
            </w:r>
            <w:proofErr w:type="spellStart"/>
            <w:r w:rsidRPr="00F54241">
              <w:rPr>
                <w:rFonts w:ascii="Times New Roman" w:eastAsia="Times New Roman" w:hAnsi="Times New Roman" w:cs="Times New Roman"/>
                <w:i/>
                <w:iCs/>
                <w:sz w:val="24"/>
                <w:szCs w:val="24"/>
                <w:lang w:eastAsia="bg-BG"/>
              </w:rPr>
              <w:t>гггг</w:t>
            </w:r>
            <w:proofErr w:type="spellEnd"/>
            <w:r w:rsidRPr="00F54241">
              <w:rPr>
                <w:rFonts w:ascii="Times New Roman" w:eastAsia="Times New Roman" w:hAnsi="Times New Roman" w:cs="Times New Roman"/>
                <w:i/>
                <w:iCs/>
                <w:sz w:val="24"/>
                <w:szCs w:val="24"/>
                <w:lang w:eastAsia="bg-BG"/>
              </w:rPr>
              <w:t>)</w:t>
            </w:r>
            <w:r w:rsidRPr="00F54241">
              <w:rPr>
                <w:rFonts w:ascii="Times New Roman" w:eastAsia="Times New Roman" w:hAnsi="Times New Roman" w:cs="Times New Roman"/>
                <w:sz w:val="24"/>
                <w:szCs w:val="24"/>
                <w:lang w:eastAsia="bg-BG"/>
              </w:rPr>
              <w:t>   Местно време: </w:t>
            </w:r>
            <w:r w:rsidRPr="00F54241">
              <w:rPr>
                <w:rFonts w:ascii="Courier New" w:eastAsia="Times New Roman" w:hAnsi="Courier New" w:cs="Courier New"/>
                <w:sz w:val="20"/>
                <w:lang w:eastAsia="bg-BG"/>
              </w:rPr>
              <w:t>17:00</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w:t>
            </w:r>
            <w:proofErr w:type="spellStart"/>
            <w:r w:rsidRPr="00F54241">
              <w:rPr>
                <w:rFonts w:ascii="Times New Roman" w:eastAsia="Times New Roman" w:hAnsi="Times New Roman" w:cs="Times New Roman"/>
                <w:i/>
                <w:iCs/>
                <w:sz w:val="24"/>
                <w:szCs w:val="24"/>
                <w:lang w:eastAsia="bg-BG"/>
              </w:rPr>
              <w:t>чч</w:t>
            </w:r>
            <w:proofErr w:type="spellEnd"/>
            <w:r w:rsidRPr="00F54241">
              <w:rPr>
                <w:rFonts w:ascii="Times New Roman" w:eastAsia="Times New Roman" w:hAnsi="Times New Roman" w:cs="Times New Roman"/>
                <w:i/>
                <w:iCs/>
                <w:sz w:val="24"/>
                <w:szCs w:val="24"/>
                <w:lang w:eastAsia="bg-BG"/>
              </w:rPr>
              <w:t>:мм)</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F54241">
              <w:rPr>
                <w:rFonts w:ascii="Times New Roman" w:eastAsia="Times New Roman" w:hAnsi="Times New Roman" w:cs="Times New Roman"/>
                <w:sz w:val="24"/>
                <w:szCs w:val="24"/>
                <w:vertAlign w:val="superscript"/>
                <w:lang w:eastAsia="bg-BG"/>
              </w:rPr>
              <w:t>4</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Дата:    </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F54241">
              <w:rPr>
                <w:rFonts w:ascii="Times New Roman" w:eastAsia="Times New Roman" w:hAnsi="Times New Roman" w:cs="Times New Roman"/>
                <w:sz w:val="24"/>
                <w:szCs w:val="24"/>
                <w:vertAlign w:val="superscript"/>
                <w:lang w:eastAsia="bg-BG"/>
              </w:rPr>
              <w:t>1</w:t>
            </w:r>
            <w:r w:rsidRPr="00F54241">
              <w:rPr>
                <w:rFonts w:ascii="Times New Roman" w:eastAsia="Times New Roman" w:hAnsi="Times New Roman" w:cs="Times New Roman"/>
                <w:sz w:val="24"/>
                <w:szCs w:val="24"/>
                <w:lang w:eastAsia="bg-BG"/>
              </w:rPr>
              <w:t>  </w:t>
            </w:r>
            <w:r w:rsidRPr="00F54241">
              <w:rPr>
                <w:rFonts w:ascii="Courier New" w:eastAsia="Times New Roman" w:hAnsi="Courier New" w:cs="Courier New"/>
                <w:sz w:val="20"/>
                <w:lang w:eastAsia="bg-BG"/>
              </w:rPr>
              <w:t>BG</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 xml:space="preserve">IV.2.6) Минимален срок, през който </w:t>
            </w:r>
            <w:proofErr w:type="spellStart"/>
            <w:r w:rsidRPr="00F54241">
              <w:rPr>
                <w:rFonts w:ascii="Times New Roman" w:eastAsia="Times New Roman" w:hAnsi="Times New Roman" w:cs="Times New Roman"/>
                <w:b/>
                <w:bCs/>
                <w:sz w:val="24"/>
                <w:szCs w:val="24"/>
                <w:lang w:eastAsia="bg-BG"/>
              </w:rPr>
              <w:t>оферентът</w:t>
            </w:r>
            <w:proofErr w:type="spellEnd"/>
            <w:r w:rsidRPr="00F54241">
              <w:rPr>
                <w:rFonts w:ascii="Times New Roman" w:eastAsia="Times New Roman" w:hAnsi="Times New Roman" w:cs="Times New Roman"/>
                <w:b/>
                <w:bCs/>
                <w:sz w:val="24"/>
                <w:szCs w:val="24"/>
                <w:lang w:eastAsia="bg-BG"/>
              </w:rPr>
              <w:t xml:space="preserve"> е обвързан от офертата</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Офертата трябва да бъде валидна до: </w:t>
            </w:r>
            <w:r w:rsidRPr="00F54241">
              <w:rPr>
                <w:rFonts w:ascii="Times New Roman" w:eastAsia="Times New Roman" w:hAnsi="Times New Roman" w:cs="Times New Roman"/>
                <w:sz w:val="24"/>
                <w:szCs w:val="24"/>
                <w:lang w:eastAsia="bg-BG"/>
              </w:rPr>
              <w:br/>
            </w:r>
            <w:r w:rsidRPr="00F54241">
              <w:rPr>
                <w:rFonts w:ascii="Times New Roman" w:eastAsia="Times New Roman" w:hAnsi="Times New Roman" w:cs="Times New Roman"/>
                <w:i/>
                <w:iCs/>
                <w:sz w:val="24"/>
                <w:szCs w:val="24"/>
                <w:lang w:eastAsia="bg-BG"/>
              </w:rPr>
              <w:t>или </w:t>
            </w:r>
            <w:r w:rsidRPr="00F54241">
              <w:rPr>
                <w:rFonts w:ascii="Times New Roman" w:eastAsia="Times New Roman" w:hAnsi="Times New Roman" w:cs="Times New Roman"/>
                <w:sz w:val="24"/>
                <w:szCs w:val="24"/>
                <w:lang w:eastAsia="bg-BG"/>
              </w:rPr>
              <w:t>Продължителност в месеци: </w:t>
            </w:r>
            <w:r w:rsidRPr="00F54241">
              <w:rPr>
                <w:rFonts w:ascii="Courier New" w:eastAsia="Times New Roman" w:hAnsi="Courier New" w:cs="Courier New"/>
                <w:sz w:val="20"/>
                <w:lang w:eastAsia="bg-BG"/>
              </w:rPr>
              <w:t>6</w:t>
            </w:r>
          </w:p>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before="100" w:beforeAutospacing="1" w:after="100" w:afterAutospacing="1"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IV.2.7) Условия за отваряне на офертите</w:t>
            </w:r>
          </w:p>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Дата: </w:t>
            </w:r>
            <w:r w:rsidRPr="00F54241">
              <w:rPr>
                <w:rFonts w:ascii="Courier New" w:eastAsia="Times New Roman" w:hAnsi="Courier New" w:cs="Courier New"/>
                <w:sz w:val="20"/>
                <w:lang w:eastAsia="bg-BG"/>
              </w:rPr>
              <w:t>18/04/2018</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w:t>
            </w:r>
            <w:proofErr w:type="spellStart"/>
            <w:r w:rsidRPr="00F54241">
              <w:rPr>
                <w:rFonts w:ascii="Times New Roman" w:eastAsia="Times New Roman" w:hAnsi="Times New Roman" w:cs="Times New Roman"/>
                <w:i/>
                <w:iCs/>
                <w:sz w:val="24"/>
                <w:szCs w:val="24"/>
                <w:lang w:eastAsia="bg-BG"/>
              </w:rPr>
              <w:t>дд</w:t>
            </w:r>
            <w:proofErr w:type="spellEnd"/>
            <w:r w:rsidRPr="00F54241">
              <w:rPr>
                <w:rFonts w:ascii="Times New Roman" w:eastAsia="Times New Roman" w:hAnsi="Times New Roman" w:cs="Times New Roman"/>
                <w:i/>
                <w:iCs/>
                <w:sz w:val="24"/>
                <w:szCs w:val="24"/>
                <w:lang w:eastAsia="bg-BG"/>
              </w:rPr>
              <w:t>/мм/</w:t>
            </w:r>
            <w:proofErr w:type="spellStart"/>
            <w:r w:rsidRPr="00F54241">
              <w:rPr>
                <w:rFonts w:ascii="Times New Roman" w:eastAsia="Times New Roman" w:hAnsi="Times New Roman" w:cs="Times New Roman"/>
                <w:i/>
                <w:iCs/>
                <w:sz w:val="24"/>
                <w:szCs w:val="24"/>
                <w:lang w:eastAsia="bg-BG"/>
              </w:rPr>
              <w:t>гггг</w:t>
            </w:r>
            <w:proofErr w:type="spellEnd"/>
            <w:r w:rsidRPr="00F54241">
              <w:rPr>
                <w:rFonts w:ascii="Times New Roman" w:eastAsia="Times New Roman" w:hAnsi="Times New Roman" w:cs="Times New Roman"/>
                <w:i/>
                <w:iCs/>
                <w:sz w:val="24"/>
                <w:szCs w:val="24"/>
                <w:lang w:eastAsia="bg-BG"/>
              </w:rPr>
              <w:t>)</w:t>
            </w:r>
            <w:r w:rsidRPr="00F54241">
              <w:rPr>
                <w:rFonts w:ascii="Times New Roman" w:eastAsia="Times New Roman" w:hAnsi="Times New Roman" w:cs="Times New Roman"/>
                <w:sz w:val="24"/>
                <w:szCs w:val="24"/>
                <w:lang w:eastAsia="bg-BG"/>
              </w:rPr>
              <w:t>   Местно време: </w:t>
            </w:r>
            <w:r w:rsidRPr="00F54241">
              <w:rPr>
                <w:rFonts w:ascii="Courier New" w:eastAsia="Times New Roman" w:hAnsi="Courier New" w:cs="Courier New"/>
                <w:sz w:val="20"/>
                <w:lang w:eastAsia="bg-BG"/>
              </w:rPr>
              <w:t>10:00</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i/>
                <w:iCs/>
                <w:sz w:val="24"/>
                <w:szCs w:val="24"/>
                <w:lang w:eastAsia="bg-BG"/>
              </w:rPr>
              <w:t>(</w:t>
            </w:r>
            <w:proofErr w:type="spellStart"/>
            <w:r w:rsidRPr="00F54241">
              <w:rPr>
                <w:rFonts w:ascii="Times New Roman" w:eastAsia="Times New Roman" w:hAnsi="Times New Roman" w:cs="Times New Roman"/>
                <w:i/>
                <w:iCs/>
                <w:sz w:val="24"/>
                <w:szCs w:val="24"/>
                <w:lang w:eastAsia="bg-BG"/>
              </w:rPr>
              <w:t>чч</w:t>
            </w:r>
            <w:proofErr w:type="spellEnd"/>
            <w:r w:rsidRPr="00F54241">
              <w:rPr>
                <w:rFonts w:ascii="Times New Roman" w:eastAsia="Times New Roman" w:hAnsi="Times New Roman" w:cs="Times New Roman"/>
                <w:i/>
                <w:iCs/>
                <w:sz w:val="24"/>
                <w:szCs w:val="24"/>
                <w:lang w:eastAsia="bg-BG"/>
              </w:rPr>
              <w:t>:мм)</w:t>
            </w:r>
            <w:r w:rsidRPr="00F54241">
              <w:rPr>
                <w:rFonts w:ascii="Times New Roman" w:eastAsia="Times New Roman" w:hAnsi="Times New Roman" w:cs="Times New Roman"/>
                <w:sz w:val="24"/>
                <w:szCs w:val="24"/>
                <w:lang w:eastAsia="bg-BG"/>
              </w:rPr>
              <w:br/>
              <w:t>Място: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 xml:space="preserve">В зала № 14,ет.2 в </w:t>
            </w:r>
            <w:proofErr w:type="spellStart"/>
            <w:r w:rsidRPr="00F54241">
              <w:rPr>
                <w:rFonts w:ascii="Courier New" w:eastAsia="Times New Roman" w:hAnsi="Courier New" w:cs="Courier New"/>
                <w:sz w:val="20"/>
                <w:lang w:eastAsia="bg-BG"/>
              </w:rPr>
              <w:t>сградат</w:t>
            </w:r>
            <w:proofErr w:type="spellEnd"/>
            <w:r w:rsidRPr="00F54241">
              <w:rPr>
                <w:rFonts w:ascii="Courier New" w:eastAsia="Times New Roman" w:hAnsi="Courier New" w:cs="Courier New"/>
                <w:sz w:val="20"/>
                <w:lang w:eastAsia="bg-BG"/>
              </w:rPr>
              <w:t xml:space="preserve"> на община Симеоновград, пл.Шейновски № 3.</w:t>
            </w:r>
            <w:r w:rsidRPr="00F54241">
              <w:rPr>
                <w:rFonts w:ascii="Times New Roman" w:eastAsia="Times New Roman" w:hAnsi="Times New Roman" w:cs="Times New Roman"/>
                <w:sz w:val="24"/>
                <w:szCs w:val="24"/>
                <w:lang w:eastAsia="bg-BG"/>
              </w:rPr>
              <w:br/>
              <w:t>Информация относно упълномощените лица и процедурата на отваряне: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tc>
      </w:tr>
    </w:tbl>
    <w:p w:rsidR="00F54241" w:rsidRPr="00F54241" w:rsidRDefault="00F54241" w:rsidP="00F54241">
      <w:pPr>
        <w:spacing w:after="0" w:line="240" w:lineRule="auto"/>
        <w:rPr>
          <w:rFonts w:ascii="Trebuchet MS" w:eastAsia="Times New Roman" w:hAnsi="Trebuchet MS" w:cs="Times New Roman"/>
          <w:b/>
          <w:bCs/>
          <w:color w:val="000000"/>
          <w:lang w:eastAsia="bg-BG"/>
        </w:rPr>
      </w:pPr>
      <w:r w:rsidRPr="00F54241">
        <w:rPr>
          <w:rFonts w:ascii="Trebuchet MS" w:eastAsia="Times New Roman" w:hAnsi="Trebuchet MS" w:cs="Times New Roman"/>
          <w:b/>
          <w:bCs/>
          <w:color w:val="000000"/>
          <w:lang w:eastAsia="bg-BG"/>
        </w:rPr>
        <w:t> Раздел VI: Допълнителна информация</w:t>
      </w:r>
    </w:p>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Courier New" w:eastAsia="Times New Roman" w:hAnsi="Courier New" w:cs="Courier New"/>
                <w:sz w:val="20"/>
                <w:szCs w:val="20"/>
                <w:lang w:eastAsia="bg-BG"/>
              </w:rPr>
            </w:pPr>
            <w:r w:rsidRPr="00F54241">
              <w:rPr>
                <w:rFonts w:ascii="Times New Roman" w:eastAsia="Times New Roman" w:hAnsi="Times New Roman" w:cs="Times New Roman"/>
                <w:sz w:val="24"/>
                <w:szCs w:val="24"/>
                <w:lang w:eastAsia="bg-BG"/>
              </w:rPr>
              <w:lastRenderedPageBreak/>
              <w:t xml:space="preserve">Това </w:t>
            </w:r>
            <w:proofErr w:type="spellStart"/>
            <w:r w:rsidRPr="00F54241">
              <w:rPr>
                <w:rFonts w:ascii="Times New Roman" w:eastAsia="Times New Roman" w:hAnsi="Times New Roman" w:cs="Times New Roman"/>
                <w:sz w:val="24"/>
                <w:szCs w:val="24"/>
                <w:lang w:eastAsia="bg-BG"/>
              </w:rPr>
              <w:t>представялява</w:t>
            </w:r>
            <w:proofErr w:type="spellEnd"/>
            <w:r w:rsidRPr="00F54241">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F54241" w:rsidRPr="00F54241">
              <w:trPr>
                <w:tblCellSpacing w:w="15" w:type="dxa"/>
              </w:trPr>
              <w:tc>
                <w:tcPr>
                  <w:tcW w:w="0" w:type="auto"/>
                  <w:tcBorders>
                    <w:top w:val="nil"/>
                    <w:left w:val="nil"/>
                    <w:bottom w:val="nil"/>
                    <w:right w:val="nil"/>
                  </w:tcBorders>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не</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F54241">
              <w:rPr>
                <w:rFonts w:ascii="Times New Roman" w:eastAsia="Times New Roman" w:hAnsi="Times New Roman" w:cs="Times New Roman"/>
                <w:sz w:val="24"/>
                <w:szCs w:val="24"/>
                <w:vertAlign w:val="superscript"/>
                <w:lang w:eastAsia="bg-BG"/>
              </w:rPr>
              <w:t>2</w:t>
            </w:r>
            <w:r w:rsidRPr="00F54241">
              <w:rPr>
                <w:rFonts w:ascii="Times New Roman" w:eastAsia="Times New Roman" w:hAnsi="Times New Roman" w:cs="Times New Roman"/>
                <w:sz w:val="24"/>
                <w:szCs w:val="24"/>
                <w:lang w:eastAsia="bg-BG"/>
              </w:rPr>
              <w:t> </w:t>
            </w:r>
          </w:p>
        </w:tc>
      </w:tr>
    </w:tbl>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Ще се прилага електронно поръчване: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br/>
              <w:t>Ще се използва електронно фактуриране: </w:t>
            </w:r>
            <w:r w:rsidRPr="00F54241">
              <w:rPr>
                <w:rFonts w:ascii="Courier New" w:eastAsia="Times New Roman" w:hAnsi="Courier New" w:cs="Courier New"/>
                <w:sz w:val="20"/>
                <w:lang w:eastAsia="bg-BG"/>
              </w:rPr>
              <w:t>НЕ</w:t>
            </w:r>
            <w:r w:rsidRPr="00F54241">
              <w:rPr>
                <w:rFonts w:ascii="Times New Roman" w:eastAsia="Times New Roman" w:hAnsi="Times New Roman" w:cs="Times New Roman"/>
                <w:sz w:val="24"/>
                <w:szCs w:val="24"/>
                <w:lang w:eastAsia="bg-BG"/>
              </w:rPr>
              <w:br/>
              <w:t>Ще се приема електронно заплащане: </w:t>
            </w:r>
            <w:r w:rsidRPr="00F54241">
              <w:rPr>
                <w:rFonts w:ascii="Courier New" w:eastAsia="Times New Roman" w:hAnsi="Courier New" w:cs="Courier New"/>
                <w:sz w:val="20"/>
                <w:lang w:eastAsia="bg-BG"/>
              </w:rPr>
              <w:t>НЕ</w:t>
            </w:r>
          </w:p>
        </w:tc>
      </w:tr>
    </w:tbl>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VI.3) Допълнителна информация </w:t>
      </w:r>
      <w:r w:rsidRPr="00F54241">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Courier New" w:eastAsia="Times New Roman" w:hAnsi="Courier New" w:cs="Courier New"/>
                <w:sz w:val="20"/>
                <w:lang w:eastAsia="bg-BG"/>
              </w:rPr>
              <w:t>ИЗИСКВАНИЯ КЪМ УЧАСТНИЦИТЕ:</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1. Възложителят отстранява от участие в процедурата, участник за когото са налице или са възникнали преди или по време на процедурата основанията за отстраняване по чл. 54, ал. 1, т. 1-7 и чл. 55, ал. 1, т. 1 и т.5 от ЗОП, условията по чл.107 от ЗОП,както и обстоятелствата по чл. 3,т. 8 от ЗИФОДРЮПДРС.</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2. Основанията по чл. 54, ал. 1, т. 1, 2 и 7 се отнасят за лицата, които представляват участника, членовете на управителни и надзорни органи и за др. лица, които имат правомощия да упражняват контрол при вземането на решения от тези органи.</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3. В случай че участникът е обединение от физически и/или юридически лица основанията за отстраняване по чл. 54, ал. 1, т. 1-7 и чл. 55, ал. 1, т. 1 и т.5 от ЗОП се прилагат за всеки член на обединението. Когато участникът предвижда участието на подизпълнители или ще използва ресурсите на трети лица, основанията се прилагат и за тях.</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 xml:space="preserve">4. При подаване на оферта участникът декларира липсата на </w:t>
            </w:r>
            <w:proofErr w:type="spellStart"/>
            <w:r w:rsidRPr="00F54241">
              <w:rPr>
                <w:rFonts w:ascii="Courier New" w:eastAsia="Times New Roman" w:hAnsi="Courier New" w:cs="Courier New"/>
                <w:sz w:val="20"/>
                <w:lang w:eastAsia="bg-BG"/>
              </w:rPr>
              <w:t>осн</w:t>
            </w:r>
            <w:proofErr w:type="spellEnd"/>
            <w:r w:rsidRPr="00F54241">
              <w:rPr>
                <w:rFonts w:ascii="Courier New" w:eastAsia="Times New Roman" w:hAnsi="Courier New" w:cs="Courier New"/>
                <w:sz w:val="20"/>
                <w:lang w:eastAsia="bg-BG"/>
              </w:rPr>
              <w:t xml:space="preserve">. за отстраняване и </w:t>
            </w:r>
            <w:proofErr w:type="spellStart"/>
            <w:r w:rsidRPr="00F54241">
              <w:rPr>
                <w:rFonts w:ascii="Courier New" w:eastAsia="Times New Roman" w:hAnsi="Courier New" w:cs="Courier New"/>
                <w:sz w:val="20"/>
                <w:lang w:eastAsia="bg-BG"/>
              </w:rPr>
              <w:t>съотв</w:t>
            </w:r>
            <w:proofErr w:type="spellEnd"/>
            <w:r w:rsidRPr="00F54241">
              <w:rPr>
                <w:rFonts w:ascii="Courier New" w:eastAsia="Times New Roman" w:hAnsi="Courier New" w:cs="Courier New"/>
                <w:sz w:val="20"/>
                <w:lang w:eastAsia="bg-BG"/>
              </w:rPr>
              <w:t xml:space="preserve">. с критериите за подбор, чрез представяне на ЕЕДОП. В ЕЕДОП се предоставя съответната </w:t>
            </w:r>
            <w:proofErr w:type="spellStart"/>
            <w:r w:rsidRPr="00F54241">
              <w:rPr>
                <w:rFonts w:ascii="Courier New" w:eastAsia="Times New Roman" w:hAnsi="Courier New" w:cs="Courier New"/>
                <w:sz w:val="20"/>
                <w:lang w:eastAsia="bg-BG"/>
              </w:rPr>
              <w:t>инфо</w:t>
            </w:r>
            <w:proofErr w:type="spellEnd"/>
            <w:r w:rsidRPr="00F54241">
              <w:rPr>
                <w:rFonts w:ascii="Courier New" w:eastAsia="Times New Roman" w:hAnsi="Courier New" w:cs="Courier New"/>
                <w:sz w:val="20"/>
                <w:lang w:eastAsia="bg-BG"/>
              </w:rPr>
              <w:t xml:space="preserve">.,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w:t>
            </w:r>
            <w:proofErr w:type="spellStart"/>
            <w:r w:rsidRPr="00F54241">
              <w:rPr>
                <w:rFonts w:ascii="Courier New" w:eastAsia="Times New Roman" w:hAnsi="Courier New" w:cs="Courier New"/>
                <w:sz w:val="20"/>
                <w:lang w:eastAsia="bg-BG"/>
              </w:rPr>
              <w:t>инфо</w:t>
            </w:r>
            <w:proofErr w:type="spellEnd"/>
            <w:r w:rsidRPr="00F54241">
              <w:rPr>
                <w:rFonts w:ascii="Courier New" w:eastAsia="Times New Roman" w:hAnsi="Courier New" w:cs="Courier New"/>
                <w:sz w:val="20"/>
                <w:lang w:eastAsia="bg-BG"/>
              </w:rPr>
              <w:t>.</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5. Когато участникът е посочил, че ще използва подизпълнители или капацитета на трети лица за доказване на съответствието с критериите за подбор, за всяко от тези лица се представя отделен ЕЕДОП.</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6.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r w:rsidRPr="00F54241">
              <w:rPr>
                <w:rFonts w:ascii="Courier New" w:eastAsia="Times New Roman" w:hAnsi="Courier New" w:cs="Courier New"/>
                <w:sz w:val="20"/>
                <w:szCs w:val="20"/>
                <w:lang w:eastAsia="bg-BG"/>
              </w:rPr>
              <w:br/>
            </w:r>
            <w:r w:rsidRPr="00F54241">
              <w:rPr>
                <w:rFonts w:ascii="Courier New" w:eastAsia="Times New Roman" w:hAnsi="Courier New" w:cs="Courier New"/>
                <w:sz w:val="20"/>
                <w:lang w:eastAsia="bg-BG"/>
              </w:rPr>
              <w:t>7. При подаване на офертата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tc>
      </w:tr>
    </w:tbl>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VI.4) Процедури по обжалване </w:t>
      </w:r>
    </w:p>
    <w:tbl>
      <w:tblPr>
        <w:tblW w:w="21600" w:type="dxa"/>
        <w:tblCellMar>
          <w:top w:w="15" w:type="dxa"/>
          <w:left w:w="15" w:type="dxa"/>
          <w:bottom w:w="15" w:type="dxa"/>
          <w:right w:w="15" w:type="dxa"/>
        </w:tblCellMar>
        <w:tblLook w:val="04A0"/>
      </w:tblPr>
      <w:tblGrid>
        <w:gridCol w:w="21766"/>
      </w:tblGrid>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917"/>
              <w:gridCol w:w="8078"/>
              <w:gridCol w:w="8605"/>
            </w:tblGrid>
            <w:tr w:rsidR="00F54241" w:rsidRP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Официално наименование: </w:t>
                  </w:r>
                  <w:r w:rsidRPr="00F54241">
                    <w:rPr>
                      <w:rFonts w:ascii="Courier New" w:eastAsia="Times New Roman" w:hAnsi="Courier New" w:cs="Courier New"/>
                      <w:sz w:val="20"/>
                      <w:lang w:eastAsia="bg-BG"/>
                    </w:rPr>
                    <w:t>Комисия за защита на конкуренцията</w:t>
                  </w:r>
                </w:p>
              </w:tc>
            </w:tr>
            <w:tr w:rsidR="00F54241" w:rsidRP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адрес: </w:t>
                  </w:r>
                  <w:r w:rsidRPr="00F54241">
                    <w:rPr>
                      <w:rFonts w:ascii="Courier New" w:eastAsia="Times New Roman" w:hAnsi="Courier New" w:cs="Courier New"/>
                      <w:sz w:val="20"/>
                      <w:lang w:eastAsia="bg-BG"/>
                    </w:rPr>
                    <w:t>бул. Витоша № 18</w:t>
                  </w:r>
                </w:p>
              </w:tc>
            </w:tr>
            <w:tr w:rsidR="00F54241" w:rsidRP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Град: </w:t>
                  </w:r>
                  <w:r w:rsidRPr="00F54241">
                    <w:rPr>
                      <w:rFonts w:ascii="Courier New" w:eastAsia="Times New Roman" w:hAnsi="Courier New" w:cs="Courier New"/>
                      <w:sz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код: </w:t>
                  </w:r>
                  <w:r w:rsidRPr="00F54241">
                    <w:rPr>
                      <w:rFonts w:ascii="Courier New" w:eastAsia="Times New Roman" w:hAnsi="Courier New" w:cs="Courier New"/>
                      <w:sz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Държава: </w:t>
                  </w:r>
                  <w:r w:rsidRPr="00F54241">
                    <w:rPr>
                      <w:rFonts w:ascii="Courier New" w:eastAsia="Times New Roman" w:hAnsi="Courier New" w:cs="Courier New"/>
                      <w:sz w:val="20"/>
                      <w:lang w:eastAsia="bg-BG"/>
                    </w:rPr>
                    <w:t>България</w:t>
                  </w:r>
                </w:p>
              </w:tc>
            </w:tr>
            <w:tr w:rsidR="00F54241" w:rsidRP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Електронна поща: </w:t>
                  </w:r>
                  <w:r w:rsidRPr="00F54241">
                    <w:rPr>
                      <w:rFonts w:ascii="Courier New" w:eastAsia="Times New Roman" w:hAnsi="Courier New" w:cs="Courier New"/>
                      <w:sz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Телефон: </w:t>
                  </w:r>
                  <w:r w:rsidRPr="00F54241">
                    <w:rPr>
                      <w:rFonts w:ascii="Courier New" w:eastAsia="Times New Roman" w:hAnsi="Courier New" w:cs="Courier New"/>
                      <w:sz w:val="20"/>
                      <w:lang w:eastAsia="bg-BG"/>
                    </w:rPr>
                    <w:t>+359 29884070</w:t>
                  </w:r>
                </w:p>
              </w:tc>
            </w:tr>
            <w:tr w:rsidR="00F54241" w:rsidRP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Интернет адрес: </w:t>
                  </w:r>
                  <w:r w:rsidRPr="00F54241">
                    <w:rPr>
                      <w:rFonts w:ascii="Times New Roman" w:eastAsia="Times New Roman" w:hAnsi="Times New Roman" w:cs="Times New Roman"/>
                      <w:i/>
                      <w:iCs/>
                      <w:sz w:val="24"/>
                      <w:szCs w:val="24"/>
                      <w:lang w:eastAsia="bg-BG"/>
                    </w:rPr>
                    <w:t>(URL)</w:t>
                  </w:r>
                  <w:r w:rsidRPr="00F54241">
                    <w:rPr>
                      <w:rFonts w:ascii="Times New Roman" w:eastAsia="Times New Roman" w:hAnsi="Times New Roman" w:cs="Times New Roman"/>
                      <w:sz w:val="24"/>
                      <w:szCs w:val="24"/>
                      <w:lang w:eastAsia="bg-BG"/>
                    </w:rPr>
                    <w:t> </w:t>
                  </w:r>
                  <w:hyperlink r:id="rId10" w:tgtFrame="_blank" w:history="1">
                    <w:r w:rsidRPr="00F54241">
                      <w:rPr>
                        <w:rFonts w:ascii="Courier New" w:eastAsia="Times New Roman" w:hAnsi="Courier New" w:cs="Courier New"/>
                        <w:color w:val="0000FF"/>
                        <w:sz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Факс: </w:t>
                  </w:r>
                  <w:r w:rsidRPr="00F54241">
                    <w:rPr>
                      <w:rFonts w:ascii="Courier New" w:eastAsia="Times New Roman" w:hAnsi="Courier New" w:cs="Courier New"/>
                      <w:sz w:val="20"/>
                      <w:lang w:eastAsia="bg-BG"/>
                    </w:rPr>
                    <w:t>+359 29807315</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VI.4.2) Орган, който отговаря за процедурите по медиация</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F54241" w:rsidRP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Официално наименование:</w:t>
                  </w:r>
                </w:p>
              </w:tc>
            </w:tr>
            <w:tr w:rsidR="00F54241" w:rsidRP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адрес:</w:t>
                  </w:r>
                </w:p>
              </w:tc>
            </w:tr>
            <w:tr w:rsidR="00F54241" w:rsidRP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Държава:</w:t>
                  </w:r>
                </w:p>
              </w:tc>
            </w:tr>
            <w:tr w:rsidR="00F54241" w:rsidRP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Телефон:</w:t>
                  </w:r>
                </w:p>
              </w:tc>
            </w:tr>
            <w:tr w:rsidR="00F54241" w:rsidRP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Интернет адрес: </w:t>
                  </w:r>
                  <w:r w:rsidRPr="00F54241">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Факс:</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lastRenderedPageBreak/>
              <w:t>VI.4.3) Подаване на жалби</w:t>
            </w:r>
            <w:r w:rsidRPr="00F54241">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 </w:t>
            </w:r>
            <w:r w:rsidRPr="00F54241">
              <w:rPr>
                <w:rFonts w:ascii="Times New Roman" w:eastAsia="Times New Roman" w:hAnsi="Times New Roman" w:cs="Times New Roman"/>
                <w:sz w:val="24"/>
                <w:szCs w:val="24"/>
                <w:lang w:eastAsia="bg-BG"/>
              </w:rPr>
              <w:br/>
            </w:r>
            <w:r w:rsidRPr="00F54241">
              <w:rPr>
                <w:rFonts w:ascii="Courier New" w:eastAsia="Times New Roman" w:hAnsi="Courier New" w:cs="Courier New"/>
                <w:sz w:val="20"/>
                <w:lang w:eastAsia="bg-BG"/>
              </w:rPr>
              <w:t>Съгласно чл.197,ал.1, т.4 от ЗОП</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F54241">
              <w:rPr>
                <w:rFonts w:ascii="Times New Roman" w:eastAsia="Times New Roman" w:hAnsi="Times New Roman" w:cs="Times New Roman"/>
                <w:sz w:val="24"/>
                <w:szCs w:val="24"/>
                <w:lang w:eastAsia="bg-BG"/>
              </w:rPr>
              <w:t> </w:t>
            </w:r>
            <w:r w:rsidRPr="00F54241">
              <w:rPr>
                <w:rFonts w:ascii="Times New Roman" w:eastAsia="Times New Roman" w:hAnsi="Times New Roman" w:cs="Times New Roman"/>
                <w:sz w:val="24"/>
                <w:szCs w:val="24"/>
                <w:vertAlign w:val="superscript"/>
                <w:lang w:eastAsia="bg-BG"/>
              </w:rPr>
              <w:t>2</w:t>
            </w:r>
          </w:p>
        </w:tc>
      </w:tr>
      <w:tr w:rsidR="00F54241" w:rsidRPr="00F54241" w:rsidT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F54241" w:rsidRP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Официално наименование:</w:t>
                  </w:r>
                </w:p>
              </w:tc>
            </w:tr>
            <w:tr w:rsidR="00F54241" w:rsidRPr="00F542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адрес:</w:t>
                  </w:r>
                </w:p>
              </w:tc>
            </w:tr>
            <w:tr w:rsidR="00F54241" w:rsidRPr="00F54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Държава:</w:t>
                  </w:r>
                </w:p>
              </w:tc>
            </w:tr>
            <w:tr w:rsidR="00F54241" w:rsidRP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Телефон:</w:t>
                  </w:r>
                </w:p>
              </w:tc>
            </w:tr>
            <w:tr w:rsidR="00F54241" w:rsidRPr="00F5424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Интернет адрес: </w:t>
                  </w:r>
                  <w:r w:rsidRPr="00F54241">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lang w:eastAsia="bg-BG"/>
                    </w:rPr>
                    <w:t>Факс:</w:t>
                  </w:r>
                </w:p>
              </w:tc>
            </w:tr>
          </w:tbl>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bl>
    <w:p w:rsidR="00F54241" w:rsidRPr="00F54241" w:rsidRDefault="00F54241" w:rsidP="00F54241">
      <w:pPr>
        <w:spacing w:before="100" w:beforeAutospacing="1" w:after="100" w:afterAutospacing="1"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b/>
          <w:bCs/>
          <w:color w:val="000000"/>
          <w:sz w:val="18"/>
          <w:lang w:eastAsia="bg-BG"/>
        </w:rPr>
        <w:t>VI.5) Дата на изпращане на настоящото обявление: </w:t>
      </w:r>
      <w:r w:rsidRPr="00F54241">
        <w:rPr>
          <w:rFonts w:ascii="Courier New" w:eastAsia="Times New Roman" w:hAnsi="Courier New" w:cs="Courier New"/>
          <w:color w:val="000000"/>
          <w:sz w:val="20"/>
          <w:lang w:eastAsia="bg-BG"/>
        </w:rPr>
        <w:t>27/03/2018</w:t>
      </w:r>
      <w:r w:rsidRPr="00F54241">
        <w:rPr>
          <w:rFonts w:ascii="Trebuchet MS" w:eastAsia="Times New Roman" w:hAnsi="Trebuchet MS" w:cs="Times New Roman"/>
          <w:color w:val="000000"/>
          <w:sz w:val="16"/>
          <w:lang w:eastAsia="bg-BG"/>
        </w:rPr>
        <w:t> </w:t>
      </w:r>
      <w:r w:rsidRPr="00F54241">
        <w:rPr>
          <w:rFonts w:ascii="Trebuchet MS" w:eastAsia="Times New Roman" w:hAnsi="Trebuchet MS" w:cs="Times New Roman"/>
          <w:i/>
          <w:iCs/>
          <w:color w:val="000000"/>
          <w:sz w:val="16"/>
          <w:lang w:eastAsia="bg-BG"/>
        </w:rPr>
        <w:t>(</w:t>
      </w:r>
      <w:proofErr w:type="spellStart"/>
      <w:r w:rsidRPr="00F54241">
        <w:rPr>
          <w:rFonts w:ascii="Trebuchet MS" w:eastAsia="Times New Roman" w:hAnsi="Trebuchet MS" w:cs="Times New Roman"/>
          <w:i/>
          <w:iCs/>
          <w:color w:val="000000"/>
          <w:sz w:val="16"/>
          <w:lang w:eastAsia="bg-BG"/>
        </w:rPr>
        <w:t>дд</w:t>
      </w:r>
      <w:proofErr w:type="spellEnd"/>
      <w:r w:rsidRPr="00F54241">
        <w:rPr>
          <w:rFonts w:ascii="Trebuchet MS" w:eastAsia="Times New Roman" w:hAnsi="Trebuchet MS" w:cs="Times New Roman"/>
          <w:i/>
          <w:iCs/>
          <w:color w:val="000000"/>
          <w:sz w:val="16"/>
          <w:lang w:eastAsia="bg-BG"/>
        </w:rPr>
        <w:t>/мм/</w:t>
      </w:r>
      <w:proofErr w:type="spellStart"/>
      <w:r w:rsidRPr="00F54241">
        <w:rPr>
          <w:rFonts w:ascii="Trebuchet MS" w:eastAsia="Times New Roman" w:hAnsi="Trebuchet MS" w:cs="Times New Roman"/>
          <w:i/>
          <w:iCs/>
          <w:color w:val="000000"/>
          <w:sz w:val="16"/>
          <w:lang w:eastAsia="bg-BG"/>
        </w:rPr>
        <w:t>гггг</w:t>
      </w:r>
      <w:proofErr w:type="spellEnd"/>
      <w:r w:rsidRPr="00F54241">
        <w:rPr>
          <w:rFonts w:ascii="Trebuchet MS" w:eastAsia="Times New Roman" w:hAnsi="Trebuchet MS" w:cs="Times New Roman"/>
          <w:i/>
          <w:iCs/>
          <w:color w:val="000000"/>
          <w:sz w:val="16"/>
          <w:lang w:eastAsia="bg-BG"/>
        </w:rPr>
        <w:t>)</w:t>
      </w:r>
    </w:p>
    <w:p w:rsidR="00F54241" w:rsidRPr="00F54241" w:rsidRDefault="00F54241" w:rsidP="00F54241">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F54241" w:rsidRPr="00F54241" w:rsidRDefault="00F54241" w:rsidP="00F54241">
      <w:pPr>
        <w:spacing w:after="0" w:line="240" w:lineRule="auto"/>
        <w:rPr>
          <w:rFonts w:ascii="Trebuchet MS" w:eastAsia="Times New Roman" w:hAnsi="Trebuchet MS" w:cs="Times New Roman"/>
          <w:color w:val="000000"/>
          <w:sz w:val="16"/>
          <w:szCs w:val="16"/>
          <w:lang w:eastAsia="bg-BG"/>
        </w:rPr>
      </w:pPr>
      <w:r w:rsidRPr="00F54241">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повторете, колкото пъти е необходимо</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2</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в приложимите случаи</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3</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4</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ако тази информация е известна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5</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6</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доколкото информацията е вече известна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7</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задължителна информация, която не се публикува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8</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информация по избор</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9</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10</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11</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12</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13</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14</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F54241">
              <w:rPr>
                <w:rFonts w:ascii="Times New Roman" w:eastAsia="Times New Roman" w:hAnsi="Times New Roman" w:cs="Times New Roman"/>
                <w:i/>
                <w:iCs/>
                <w:sz w:val="24"/>
                <w:szCs w:val="24"/>
                <w:lang w:eastAsia="bg-BG"/>
              </w:rPr>
              <w:t>участите</w:t>
            </w:r>
            <w:proofErr w:type="spellEnd"/>
            <w:r w:rsidRPr="00F54241">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15</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16</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17</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lastRenderedPageBreak/>
              <w:t>18</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19</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20</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може да бъде присъдена значимост вместо тежест</w:t>
            </w:r>
          </w:p>
        </w:tc>
      </w:tr>
      <w:tr w:rsidR="00F54241" w:rsidRPr="00F54241" w:rsidTr="00F54241">
        <w:trPr>
          <w:tblCellSpacing w:w="15" w:type="dxa"/>
        </w:trPr>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sz w:val="24"/>
                <w:szCs w:val="24"/>
                <w:vertAlign w:val="superscript"/>
                <w:lang w:eastAsia="bg-BG"/>
              </w:rPr>
              <w:t>21</w:t>
            </w:r>
          </w:p>
        </w:tc>
        <w:tc>
          <w:tcPr>
            <w:tcW w:w="0" w:type="auto"/>
            <w:vAlign w:val="center"/>
            <w:hideMark/>
          </w:tcPr>
          <w:p w:rsidR="00F54241" w:rsidRPr="00F54241" w:rsidRDefault="00F54241" w:rsidP="00F54241">
            <w:pPr>
              <w:spacing w:after="0" w:line="240" w:lineRule="auto"/>
              <w:rPr>
                <w:rFonts w:ascii="Times New Roman" w:eastAsia="Times New Roman" w:hAnsi="Times New Roman" w:cs="Times New Roman"/>
                <w:sz w:val="24"/>
                <w:szCs w:val="24"/>
                <w:lang w:eastAsia="bg-BG"/>
              </w:rPr>
            </w:pPr>
            <w:r w:rsidRPr="00F54241">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A65360" w:rsidRDefault="00A65360"/>
    <w:sectPr w:rsidR="00A65360" w:rsidSect="00A65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F54241"/>
    <w:rsid w:val="00A65360"/>
    <w:rsid w:val="00F5424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60"/>
  </w:style>
  <w:style w:type="paragraph" w:styleId="1">
    <w:name w:val="heading 1"/>
    <w:basedOn w:val="a"/>
    <w:link w:val="10"/>
    <w:uiPriority w:val="9"/>
    <w:qFormat/>
    <w:rsid w:val="00F54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54241"/>
    <w:rPr>
      <w:rFonts w:ascii="Times New Roman" w:eastAsia="Times New Roman" w:hAnsi="Times New Roman" w:cs="Times New Roman"/>
      <w:b/>
      <w:bCs/>
      <w:kern w:val="36"/>
      <w:sz w:val="48"/>
      <w:szCs w:val="48"/>
      <w:lang w:eastAsia="bg-BG"/>
    </w:rPr>
  </w:style>
  <w:style w:type="character" w:customStyle="1" w:styleId="inputvalue">
    <w:name w:val="input_value"/>
    <w:basedOn w:val="a0"/>
    <w:rsid w:val="00F54241"/>
  </w:style>
  <w:style w:type="character" w:customStyle="1" w:styleId="inputlabel">
    <w:name w:val="input_label"/>
    <w:basedOn w:val="a0"/>
    <w:rsid w:val="00F54241"/>
  </w:style>
  <w:style w:type="character" w:styleId="a3">
    <w:name w:val="Hyperlink"/>
    <w:basedOn w:val="a0"/>
    <w:uiPriority w:val="99"/>
    <w:semiHidden/>
    <w:unhideWhenUsed/>
    <w:rsid w:val="00F54241"/>
    <w:rPr>
      <w:color w:val="0000FF"/>
      <w:u w:val="single"/>
    </w:rPr>
  </w:style>
  <w:style w:type="paragraph" w:styleId="a4">
    <w:name w:val="Normal (Web)"/>
    <w:basedOn w:val="a"/>
    <w:uiPriority w:val="99"/>
    <w:unhideWhenUsed/>
    <w:rsid w:val="00F5424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xedcontroltitle">
    <w:name w:val="boxed_control_title"/>
    <w:basedOn w:val="a0"/>
    <w:rsid w:val="00F54241"/>
  </w:style>
  <w:style w:type="paragraph" w:styleId="a5">
    <w:name w:val="Balloon Text"/>
    <w:basedOn w:val="a"/>
    <w:link w:val="a6"/>
    <w:uiPriority w:val="99"/>
    <w:semiHidden/>
    <w:unhideWhenUsed/>
    <w:rsid w:val="00F5424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54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142813">
      <w:bodyDiv w:val="1"/>
      <w:marLeft w:val="0"/>
      <w:marRight w:val="0"/>
      <w:marTop w:val="0"/>
      <w:marBottom w:val="0"/>
      <w:divBdr>
        <w:top w:val="none" w:sz="0" w:space="0" w:color="auto"/>
        <w:left w:val="none" w:sz="0" w:space="0" w:color="auto"/>
        <w:bottom w:val="none" w:sz="0" w:space="0" w:color="auto"/>
        <w:right w:val="none" w:sz="0" w:space="0" w:color="auto"/>
      </w:divBdr>
      <w:divsChild>
        <w:div w:id="1991589903">
          <w:marLeft w:val="0"/>
          <w:marRight w:val="0"/>
          <w:marTop w:val="0"/>
          <w:marBottom w:val="0"/>
          <w:divBdr>
            <w:top w:val="none" w:sz="0" w:space="0" w:color="auto"/>
            <w:left w:val="none" w:sz="0" w:space="0" w:color="auto"/>
            <w:bottom w:val="none" w:sz="0" w:space="0" w:color="auto"/>
            <w:right w:val="none" w:sz="0" w:space="0" w:color="auto"/>
          </w:divBdr>
          <w:divsChild>
            <w:div w:id="2018342434">
              <w:marLeft w:val="0"/>
              <w:marRight w:val="0"/>
              <w:marTop w:val="0"/>
              <w:marBottom w:val="0"/>
              <w:divBdr>
                <w:top w:val="none" w:sz="0" w:space="0" w:color="auto"/>
                <w:left w:val="none" w:sz="0" w:space="0" w:color="auto"/>
                <w:bottom w:val="none" w:sz="0" w:space="0" w:color="auto"/>
                <w:right w:val="none" w:sz="0" w:space="0" w:color="auto"/>
              </w:divBdr>
            </w:div>
            <w:div w:id="342166865">
              <w:marLeft w:val="0"/>
              <w:marRight w:val="0"/>
              <w:marTop w:val="0"/>
              <w:marBottom w:val="0"/>
              <w:divBdr>
                <w:top w:val="none" w:sz="0" w:space="0" w:color="auto"/>
                <w:left w:val="none" w:sz="0" w:space="0" w:color="auto"/>
                <w:bottom w:val="none" w:sz="0" w:space="0" w:color="auto"/>
                <w:right w:val="none" w:sz="0" w:space="0" w:color="auto"/>
              </w:divBdr>
            </w:div>
          </w:divsChild>
        </w:div>
        <w:div w:id="440028029">
          <w:marLeft w:val="0"/>
          <w:marRight w:val="0"/>
          <w:marTop w:val="0"/>
          <w:marBottom w:val="0"/>
          <w:divBdr>
            <w:top w:val="none" w:sz="0" w:space="0" w:color="auto"/>
            <w:left w:val="none" w:sz="0" w:space="0" w:color="auto"/>
            <w:bottom w:val="none" w:sz="0" w:space="0" w:color="auto"/>
            <w:right w:val="none" w:sz="0" w:space="0" w:color="auto"/>
          </w:divBdr>
        </w:div>
        <w:div w:id="734009327">
          <w:marLeft w:val="0"/>
          <w:marRight w:val="0"/>
          <w:marTop w:val="0"/>
          <w:marBottom w:val="0"/>
          <w:divBdr>
            <w:top w:val="none" w:sz="0" w:space="0" w:color="auto"/>
            <w:left w:val="none" w:sz="0" w:space="0" w:color="auto"/>
            <w:bottom w:val="none" w:sz="0" w:space="0" w:color="auto"/>
            <w:right w:val="none" w:sz="0" w:space="0" w:color="auto"/>
          </w:divBdr>
        </w:div>
        <w:div w:id="271938087">
          <w:marLeft w:val="0"/>
          <w:marRight w:val="0"/>
          <w:marTop w:val="0"/>
          <w:marBottom w:val="150"/>
          <w:divBdr>
            <w:top w:val="none" w:sz="0" w:space="0" w:color="auto"/>
            <w:left w:val="none" w:sz="0" w:space="0" w:color="auto"/>
            <w:bottom w:val="none" w:sz="0" w:space="0" w:color="auto"/>
            <w:right w:val="none" w:sz="0" w:space="0" w:color="auto"/>
          </w:divBdr>
          <w:divsChild>
            <w:div w:id="865941667">
              <w:marLeft w:val="0"/>
              <w:marRight w:val="0"/>
              <w:marTop w:val="0"/>
              <w:marBottom w:val="0"/>
              <w:divBdr>
                <w:top w:val="none" w:sz="0" w:space="0" w:color="auto"/>
                <w:left w:val="none" w:sz="0" w:space="0" w:color="auto"/>
                <w:bottom w:val="none" w:sz="0" w:space="0" w:color="auto"/>
                <w:right w:val="none" w:sz="0" w:space="0" w:color="auto"/>
              </w:divBdr>
            </w:div>
            <w:div w:id="1644697292">
              <w:marLeft w:val="0"/>
              <w:marRight w:val="0"/>
              <w:marTop w:val="0"/>
              <w:marBottom w:val="0"/>
              <w:divBdr>
                <w:top w:val="none" w:sz="0" w:space="0" w:color="auto"/>
                <w:left w:val="none" w:sz="0" w:space="0" w:color="auto"/>
                <w:bottom w:val="none" w:sz="0" w:space="0" w:color="auto"/>
                <w:right w:val="none" w:sz="0" w:space="0" w:color="auto"/>
              </w:divBdr>
            </w:div>
            <w:div w:id="309409834">
              <w:marLeft w:val="0"/>
              <w:marRight w:val="0"/>
              <w:marTop w:val="0"/>
              <w:marBottom w:val="0"/>
              <w:divBdr>
                <w:top w:val="none" w:sz="0" w:space="0" w:color="auto"/>
                <w:left w:val="none" w:sz="0" w:space="0" w:color="auto"/>
                <w:bottom w:val="none" w:sz="0" w:space="0" w:color="auto"/>
                <w:right w:val="none" w:sz="0" w:space="0" w:color="auto"/>
              </w:divBdr>
            </w:div>
            <w:div w:id="941570553">
              <w:marLeft w:val="0"/>
              <w:marRight w:val="0"/>
              <w:marTop w:val="0"/>
              <w:marBottom w:val="0"/>
              <w:divBdr>
                <w:top w:val="none" w:sz="0" w:space="0" w:color="auto"/>
                <w:left w:val="none" w:sz="0" w:space="0" w:color="auto"/>
                <w:bottom w:val="none" w:sz="0" w:space="0" w:color="auto"/>
                <w:right w:val="none" w:sz="0" w:space="0" w:color="auto"/>
              </w:divBdr>
            </w:div>
          </w:divsChild>
        </w:div>
        <w:div w:id="1858883939">
          <w:marLeft w:val="0"/>
          <w:marRight w:val="0"/>
          <w:marTop w:val="0"/>
          <w:marBottom w:val="0"/>
          <w:divBdr>
            <w:top w:val="none" w:sz="0" w:space="0" w:color="auto"/>
            <w:left w:val="none" w:sz="0" w:space="0" w:color="auto"/>
            <w:bottom w:val="none" w:sz="0" w:space="0" w:color="auto"/>
            <w:right w:val="none" w:sz="0" w:space="0" w:color="auto"/>
          </w:divBdr>
        </w:div>
        <w:div w:id="1934051360">
          <w:marLeft w:val="0"/>
          <w:marRight w:val="0"/>
          <w:marTop w:val="0"/>
          <w:marBottom w:val="0"/>
          <w:divBdr>
            <w:top w:val="none" w:sz="0" w:space="0" w:color="auto"/>
            <w:left w:val="none" w:sz="0" w:space="0" w:color="auto"/>
            <w:bottom w:val="none" w:sz="0" w:space="0" w:color="auto"/>
            <w:right w:val="none" w:sz="0" w:space="0" w:color="auto"/>
          </w:divBdr>
        </w:div>
        <w:div w:id="418403365">
          <w:marLeft w:val="0"/>
          <w:marRight w:val="0"/>
          <w:marTop w:val="0"/>
          <w:marBottom w:val="150"/>
          <w:divBdr>
            <w:top w:val="single" w:sz="12" w:space="4" w:color="000000"/>
            <w:left w:val="single" w:sz="12" w:space="4" w:color="000000"/>
            <w:bottom w:val="single" w:sz="12" w:space="4" w:color="000000"/>
            <w:right w:val="single" w:sz="12" w:space="4" w:color="000000"/>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47468844">
              <w:marLeft w:val="0"/>
              <w:marRight w:val="0"/>
              <w:marTop w:val="0"/>
              <w:marBottom w:val="0"/>
              <w:divBdr>
                <w:top w:val="none" w:sz="0" w:space="0" w:color="auto"/>
                <w:left w:val="none" w:sz="0" w:space="0" w:color="auto"/>
                <w:bottom w:val="none" w:sz="0" w:space="0" w:color="auto"/>
                <w:right w:val="none" w:sz="0" w:space="0" w:color="auto"/>
              </w:divBdr>
              <w:divsChild>
                <w:div w:id="15840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899">
          <w:marLeft w:val="0"/>
          <w:marRight w:val="0"/>
          <w:marTop w:val="0"/>
          <w:marBottom w:val="0"/>
          <w:divBdr>
            <w:top w:val="none" w:sz="0" w:space="0" w:color="auto"/>
            <w:left w:val="none" w:sz="0" w:space="0" w:color="auto"/>
            <w:bottom w:val="none" w:sz="0" w:space="0" w:color="auto"/>
            <w:right w:val="none" w:sz="0" w:space="0" w:color="auto"/>
          </w:divBdr>
          <w:divsChild>
            <w:div w:id="1915554200">
              <w:marLeft w:val="0"/>
              <w:marRight w:val="0"/>
              <w:marTop w:val="0"/>
              <w:marBottom w:val="150"/>
              <w:divBdr>
                <w:top w:val="none" w:sz="0" w:space="0" w:color="auto"/>
                <w:left w:val="none" w:sz="0" w:space="0" w:color="auto"/>
                <w:bottom w:val="none" w:sz="0" w:space="0" w:color="auto"/>
                <w:right w:val="none" w:sz="0" w:space="0" w:color="auto"/>
              </w:divBdr>
              <w:divsChild>
                <w:div w:id="903879802">
                  <w:marLeft w:val="0"/>
                  <w:marRight w:val="0"/>
                  <w:marTop w:val="0"/>
                  <w:marBottom w:val="0"/>
                  <w:divBdr>
                    <w:top w:val="none" w:sz="0" w:space="0" w:color="auto"/>
                    <w:left w:val="none" w:sz="0" w:space="0" w:color="auto"/>
                    <w:bottom w:val="none" w:sz="0" w:space="0" w:color="auto"/>
                    <w:right w:val="none" w:sz="0" w:space="0" w:color="auto"/>
                  </w:divBdr>
                </w:div>
                <w:div w:id="142504107">
                  <w:marLeft w:val="0"/>
                  <w:marRight w:val="0"/>
                  <w:marTop w:val="0"/>
                  <w:marBottom w:val="0"/>
                  <w:divBdr>
                    <w:top w:val="none" w:sz="0" w:space="0" w:color="auto"/>
                    <w:left w:val="none" w:sz="0" w:space="0" w:color="auto"/>
                    <w:bottom w:val="none" w:sz="0" w:space="0" w:color="auto"/>
                    <w:right w:val="none" w:sz="0" w:space="0" w:color="auto"/>
                  </w:divBdr>
                </w:div>
              </w:divsChild>
            </w:div>
            <w:div w:id="92630370">
              <w:marLeft w:val="0"/>
              <w:marRight w:val="0"/>
              <w:marTop w:val="0"/>
              <w:marBottom w:val="0"/>
              <w:divBdr>
                <w:top w:val="none" w:sz="0" w:space="0" w:color="auto"/>
                <w:left w:val="none" w:sz="0" w:space="0" w:color="auto"/>
                <w:bottom w:val="none" w:sz="0" w:space="0" w:color="auto"/>
                <w:right w:val="none" w:sz="0" w:space="0" w:color="auto"/>
              </w:divBdr>
            </w:div>
          </w:divsChild>
        </w:div>
        <w:div w:id="1027636411">
          <w:marLeft w:val="0"/>
          <w:marRight w:val="0"/>
          <w:marTop w:val="0"/>
          <w:marBottom w:val="0"/>
          <w:divBdr>
            <w:top w:val="none" w:sz="0" w:space="0" w:color="auto"/>
            <w:left w:val="none" w:sz="0" w:space="0" w:color="auto"/>
            <w:bottom w:val="none" w:sz="0" w:space="0" w:color="auto"/>
            <w:right w:val="none" w:sz="0" w:space="0" w:color="auto"/>
          </w:divBdr>
          <w:divsChild>
            <w:div w:id="946156810">
              <w:marLeft w:val="0"/>
              <w:marRight w:val="0"/>
              <w:marTop w:val="0"/>
              <w:marBottom w:val="150"/>
              <w:divBdr>
                <w:top w:val="none" w:sz="0" w:space="0" w:color="auto"/>
                <w:left w:val="none" w:sz="0" w:space="0" w:color="auto"/>
                <w:bottom w:val="none" w:sz="0" w:space="0" w:color="auto"/>
                <w:right w:val="none" w:sz="0" w:space="0" w:color="auto"/>
              </w:divBdr>
              <w:divsChild>
                <w:div w:id="1325426199">
                  <w:marLeft w:val="0"/>
                  <w:marRight w:val="0"/>
                  <w:marTop w:val="0"/>
                  <w:marBottom w:val="0"/>
                  <w:divBdr>
                    <w:top w:val="none" w:sz="0" w:space="0" w:color="auto"/>
                    <w:left w:val="none" w:sz="0" w:space="0" w:color="auto"/>
                    <w:bottom w:val="none" w:sz="0" w:space="0" w:color="auto"/>
                    <w:right w:val="none" w:sz="0" w:space="0" w:color="auto"/>
                  </w:divBdr>
                </w:div>
                <w:div w:id="819999589">
                  <w:marLeft w:val="0"/>
                  <w:marRight w:val="0"/>
                  <w:marTop w:val="0"/>
                  <w:marBottom w:val="0"/>
                  <w:divBdr>
                    <w:top w:val="none" w:sz="0" w:space="0" w:color="auto"/>
                    <w:left w:val="none" w:sz="0" w:space="0" w:color="auto"/>
                    <w:bottom w:val="none" w:sz="0" w:space="0" w:color="auto"/>
                    <w:right w:val="none" w:sz="0" w:space="0" w:color="auto"/>
                  </w:divBdr>
                  <w:divsChild>
                    <w:div w:id="702631252">
                      <w:marLeft w:val="0"/>
                      <w:marRight w:val="0"/>
                      <w:marTop w:val="0"/>
                      <w:marBottom w:val="0"/>
                      <w:divBdr>
                        <w:top w:val="none" w:sz="0" w:space="0" w:color="auto"/>
                        <w:left w:val="none" w:sz="0" w:space="0" w:color="auto"/>
                        <w:bottom w:val="none" w:sz="0" w:space="0" w:color="auto"/>
                        <w:right w:val="none" w:sz="0" w:space="0" w:color="auto"/>
                      </w:divBdr>
                    </w:div>
                    <w:div w:id="9272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9930">
              <w:marLeft w:val="0"/>
              <w:marRight w:val="0"/>
              <w:marTop w:val="0"/>
              <w:marBottom w:val="0"/>
              <w:divBdr>
                <w:top w:val="none" w:sz="0" w:space="0" w:color="auto"/>
                <w:left w:val="none" w:sz="0" w:space="0" w:color="auto"/>
                <w:bottom w:val="none" w:sz="0" w:space="0" w:color="auto"/>
                <w:right w:val="none" w:sz="0" w:space="0" w:color="auto"/>
              </w:divBdr>
            </w:div>
          </w:divsChild>
        </w:div>
        <w:div w:id="1357119498">
          <w:marLeft w:val="0"/>
          <w:marRight w:val="0"/>
          <w:marTop w:val="0"/>
          <w:marBottom w:val="0"/>
          <w:divBdr>
            <w:top w:val="none" w:sz="0" w:space="0" w:color="auto"/>
            <w:left w:val="none" w:sz="0" w:space="0" w:color="auto"/>
            <w:bottom w:val="none" w:sz="0" w:space="0" w:color="auto"/>
            <w:right w:val="none" w:sz="0" w:space="0" w:color="auto"/>
          </w:divBdr>
          <w:divsChild>
            <w:div w:id="160514151">
              <w:marLeft w:val="0"/>
              <w:marRight w:val="0"/>
              <w:marTop w:val="0"/>
              <w:marBottom w:val="150"/>
              <w:divBdr>
                <w:top w:val="none" w:sz="0" w:space="0" w:color="auto"/>
                <w:left w:val="none" w:sz="0" w:space="0" w:color="auto"/>
                <w:bottom w:val="none" w:sz="0" w:space="0" w:color="auto"/>
                <w:right w:val="none" w:sz="0" w:space="0" w:color="auto"/>
              </w:divBdr>
              <w:divsChild>
                <w:div w:id="1181702012">
                  <w:marLeft w:val="0"/>
                  <w:marRight w:val="0"/>
                  <w:marTop w:val="0"/>
                  <w:marBottom w:val="0"/>
                  <w:divBdr>
                    <w:top w:val="none" w:sz="0" w:space="0" w:color="auto"/>
                    <w:left w:val="none" w:sz="0" w:space="0" w:color="auto"/>
                    <w:bottom w:val="none" w:sz="0" w:space="0" w:color="auto"/>
                    <w:right w:val="none" w:sz="0" w:space="0" w:color="auto"/>
                  </w:divBdr>
                </w:div>
                <w:div w:id="1352488343">
                  <w:marLeft w:val="0"/>
                  <w:marRight w:val="0"/>
                  <w:marTop w:val="0"/>
                  <w:marBottom w:val="0"/>
                  <w:divBdr>
                    <w:top w:val="none" w:sz="0" w:space="0" w:color="auto"/>
                    <w:left w:val="none" w:sz="0" w:space="0" w:color="auto"/>
                    <w:bottom w:val="none" w:sz="0" w:space="0" w:color="auto"/>
                    <w:right w:val="none" w:sz="0" w:space="0" w:color="auto"/>
                  </w:divBdr>
                </w:div>
                <w:div w:id="507529093">
                  <w:marLeft w:val="0"/>
                  <w:marRight w:val="0"/>
                  <w:marTop w:val="0"/>
                  <w:marBottom w:val="0"/>
                  <w:divBdr>
                    <w:top w:val="none" w:sz="0" w:space="0" w:color="auto"/>
                    <w:left w:val="none" w:sz="0" w:space="0" w:color="auto"/>
                    <w:bottom w:val="none" w:sz="0" w:space="0" w:color="auto"/>
                    <w:right w:val="none" w:sz="0" w:space="0" w:color="auto"/>
                  </w:divBdr>
                </w:div>
                <w:div w:id="1171531810">
                  <w:marLeft w:val="0"/>
                  <w:marRight w:val="0"/>
                  <w:marTop w:val="0"/>
                  <w:marBottom w:val="0"/>
                  <w:divBdr>
                    <w:top w:val="none" w:sz="0" w:space="0" w:color="auto"/>
                    <w:left w:val="none" w:sz="0" w:space="0" w:color="auto"/>
                    <w:bottom w:val="none" w:sz="0" w:space="0" w:color="auto"/>
                    <w:right w:val="none" w:sz="0" w:space="0" w:color="auto"/>
                  </w:divBdr>
                </w:div>
                <w:div w:id="941841926">
                  <w:marLeft w:val="0"/>
                  <w:marRight w:val="0"/>
                  <w:marTop w:val="0"/>
                  <w:marBottom w:val="0"/>
                  <w:divBdr>
                    <w:top w:val="none" w:sz="0" w:space="0" w:color="auto"/>
                    <w:left w:val="none" w:sz="0" w:space="0" w:color="auto"/>
                    <w:bottom w:val="none" w:sz="0" w:space="0" w:color="auto"/>
                    <w:right w:val="none" w:sz="0" w:space="0" w:color="auto"/>
                  </w:divBdr>
                </w:div>
                <w:div w:id="612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c.bg/" TargetMode="External"/><Relationship Id="rId4" Type="http://schemas.openxmlformats.org/officeDocument/2006/relationships/hyperlink" Target="http://www.aop.bg/fckedit2/user/File/bg/practika/e_sender_e.pdf" TargetMode="External"/><Relationship Id="rId9" Type="http://schemas.openxmlformats.org/officeDocument/2006/relationships/hyperlink" Target="http://www.simeonovgrad.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4037</Words>
  <Characters>23017</Characters>
  <Application>Microsoft Office Word</Application>
  <DocSecurity>0</DocSecurity>
  <Lines>191</Lines>
  <Paragraphs>53</Paragraphs>
  <ScaleCrop>false</ScaleCrop>
  <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2018-03-27T12:36:00Z</dcterms:created>
  <dcterms:modified xsi:type="dcterms:W3CDTF">2018-03-27T12:37:00Z</dcterms:modified>
</cp:coreProperties>
</file>