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0E" w:rsidRPr="00DD200E" w:rsidRDefault="00DD200E" w:rsidP="00DD200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bg-BG"/>
        </w:rPr>
      </w:pPr>
      <w:r w:rsidRPr="00DD200E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bg-BG"/>
        </w:rPr>
        <w:t>Строителство - 134132-2018</w:t>
      </w:r>
    </w:p>
    <w:p w:rsidR="00DD200E" w:rsidRPr="00DD200E" w:rsidRDefault="00DD200E" w:rsidP="00DD200E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30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  <w:t>Език на оригинала</w:t>
      </w:r>
    </w:p>
    <w:p w:rsidR="00DD200E" w:rsidRPr="00DD200E" w:rsidRDefault="00DD200E" w:rsidP="00DD200E">
      <w:pPr>
        <w:numPr>
          <w:ilvl w:val="0"/>
          <w:numId w:val="1"/>
        </w:numPr>
        <w:pBdr>
          <w:top w:val="single" w:sz="6" w:space="6" w:color="CCCCCC"/>
          <w:left w:val="single" w:sz="6" w:space="0" w:color="CCCCCC"/>
          <w:bottom w:val="single" w:sz="2" w:space="0" w:color="CCCCCC"/>
          <w:right w:val="single" w:sz="6" w:space="0" w:color="CCCCCC"/>
        </w:pBdr>
        <w:shd w:val="clear" w:color="auto" w:fill="EEEEEE"/>
        <w:spacing w:before="100" w:beforeAutospacing="1" w:after="100" w:afterAutospacing="1" w:line="240" w:lineRule="auto"/>
        <w:ind w:left="-45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5" w:tooltip="Преглед на данните за обявлението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Данни</w:t>
        </w:r>
      </w:hyperlink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444444"/>
          <w:sz w:val="20"/>
          <w:lang w:eastAsia="bg-BG"/>
        </w:rPr>
        <w:t>28/03/2018</w:t>
      </w:r>
      <w:r w:rsidRPr="00DD200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  <w:t>    </w:t>
      </w:r>
      <w:r w:rsidRPr="00DD200E">
        <w:rPr>
          <w:rFonts w:ascii="Lucida Sans Unicode" w:eastAsia="Times New Roman" w:hAnsi="Lucida Sans Unicode" w:cs="Lucida Sans Unicode"/>
          <w:color w:val="444444"/>
          <w:sz w:val="20"/>
          <w:lang w:eastAsia="bg-BG"/>
        </w:rPr>
        <w:t>S61</w:t>
      </w:r>
      <w:r w:rsidRPr="00DD200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  <w:t>    </w:t>
      </w:r>
      <w:r w:rsidRPr="00DD200E">
        <w:rPr>
          <w:rFonts w:ascii="Lucida Sans Unicode" w:eastAsia="Times New Roman" w:hAnsi="Lucida Sans Unicode" w:cs="Lucida Sans Unicode"/>
          <w:color w:val="444444"/>
          <w:sz w:val="20"/>
          <w:lang w:eastAsia="bg-BG"/>
        </w:rPr>
        <w:t>- - Строителство - Обявление за поръчка - Открита процедура </w:t>
      </w:r>
    </w:p>
    <w:p w:rsidR="00DD200E" w:rsidRPr="00DD200E" w:rsidRDefault="00DD200E" w:rsidP="00D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6" w:anchor="id1-I.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I.</w:t>
        </w:r>
      </w:hyperlink>
    </w:p>
    <w:p w:rsidR="00DD200E" w:rsidRPr="00DD200E" w:rsidRDefault="00DD200E" w:rsidP="00D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7" w:anchor="id2-II.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II.</w:t>
        </w:r>
      </w:hyperlink>
    </w:p>
    <w:p w:rsidR="00DD200E" w:rsidRPr="00DD200E" w:rsidRDefault="00DD200E" w:rsidP="00D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8" w:anchor="id3-III.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III.</w:t>
        </w:r>
      </w:hyperlink>
    </w:p>
    <w:p w:rsidR="00DD200E" w:rsidRPr="00DD200E" w:rsidRDefault="00DD200E" w:rsidP="00D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9" w:anchor="id4-IV.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IV.</w:t>
        </w:r>
      </w:hyperlink>
    </w:p>
    <w:p w:rsidR="00DD200E" w:rsidRPr="00DD200E" w:rsidRDefault="00DD200E" w:rsidP="00D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10" w:anchor="id5-VI.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lang w:eastAsia="bg-BG"/>
          </w:rPr>
          <w:t>VI.</w:t>
        </w:r>
      </w:hyperlink>
    </w:p>
    <w:p w:rsidR="00DD200E" w:rsidRPr="00DD200E" w:rsidRDefault="00DD200E" w:rsidP="00DD200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  <w:t>България-Симеоновград: Строителни работи по полагане на пътна настилка на улици</w:t>
      </w:r>
    </w:p>
    <w:p w:rsidR="00DD200E" w:rsidRPr="00DD200E" w:rsidRDefault="00DD200E" w:rsidP="00DD200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  <w:t>2018/S 061-134132</w:t>
      </w:r>
    </w:p>
    <w:p w:rsidR="00DD200E" w:rsidRPr="00DD200E" w:rsidRDefault="00DD200E" w:rsidP="00DD200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  <w:t>Обявление за поръчка</w:t>
      </w:r>
    </w:p>
    <w:p w:rsidR="00DD200E" w:rsidRPr="00DD200E" w:rsidRDefault="00DD200E" w:rsidP="00DD200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bg-BG"/>
        </w:rPr>
        <w:t>Строителство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  <w:t>Директива 2014/24/ЕС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  <w:t>Раздел І: Възлагащ орган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Наименование и адреси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Община Симеоновград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000903729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пл. „Шейновски“ № 3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Симеоновград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6490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България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Лице за контакт: Мими Дачева, Гергана Димова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Телефон: +359 3781-2341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Електронна поща: </w:t>
      </w:r>
      <w:hyperlink r:id="rId11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bg-BG"/>
          </w:rPr>
          <w:t>obshtina_simgrad@abv.bg</w:t>
        </w:r>
      </w:hyperlink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Факс: +359 3781-2006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код NUTS: 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BG422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bg-BG"/>
        </w:rPr>
        <w:t>Интернет адрес/и: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Основен адрес: </w:t>
      </w:r>
      <w:hyperlink r:id="rId12" w:tgtFrame="_blank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bg-BG"/>
          </w:rPr>
          <w:t>http://www.simeonovgrad.bg/</w:t>
        </w:r>
      </w:hyperlink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Адрес на профила на купувача: </w:t>
      </w:r>
      <w:hyperlink r:id="rId13" w:tgtFrame="_blank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bg-BG"/>
          </w:rPr>
          <w:t>http://www.simeonovgrad.bg/profilebuyer</w:t>
        </w:r>
      </w:hyperlink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Съвместно възлагане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Комуникация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Документацията за обществената поръчка е достъпна за неограничен и пълен пряк безплатен достъп на: </w:t>
      </w:r>
      <w:hyperlink r:id="rId14" w:tgtFrame="_blank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bg-BG"/>
          </w:rPr>
          <w:t>http://www.simeonovgrad.bg/</w:t>
        </w:r>
      </w:hyperlink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Допълнителна информация може да бъде получена от Горепосоченото/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ите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място/места за контакт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Офертите или заявленията за участие трябва да бъдат изпратени горепосоченото/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ите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място/места за контакт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Вид на възлагащия орган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Регионален или местен орган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I.5)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Основна дейност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Общи обществени услуги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  <w:t>Раздел ІІ: Предмет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Обхват на обществената поръчка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Наименование: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Изпълнение на строително-монтажни работи по проект: „Рехабилитация и реконструкция на уличната мрежа и прилежащите съоръжения в населените места на Община Симеоновград“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Основен CPV код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FF0000"/>
          <w:sz w:val="20"/>
          <w:lang w:eastAsia="bg-BG"/>
        </w:rPr>
        <w:t>45233252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Вид на поръчка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Строителство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Кратко описание: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Предмета на поръчката обхваща строително-монтажни работи, свързани с реконструкция и рехабилитация на улици и тротоари в гр. Симеоновград.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II.1.5)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Прогнозна обща стойност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Стойност, без да се включва ДДС: 1 738 818.25 BGN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II.1.6)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обособените позиции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Настоящата поръчка е разделена на обособени позиции: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Описание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Наименование: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Допълнителни CPV кодове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FF0000"/>
          <w:sz w:val="20"/>
          <w:lang w:eastAsia="bg-BG"/>
        </w:rPr>
        <w:t>45233252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Място на изпълнение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код NUTS: 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BG422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Основно място на изпълнение: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Република България, община Симеоновград.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Описание на обществената поръчка: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Предметът на поръчката обхваща строително-монтажни работи, свързани с реконструкция и рехабилитация на улици и тротоари в гр. Симеоновград: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улица „Иван Арнаудов“ има директна връзка с път ІІІ-554. Разглежданият участък е с дължина 432 м, квадратура на уличната настилка 2 858 кв.м. и прилежаща тротоарна настилка 1 403 кв.м.,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— улица „Барон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Хирш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“ има директна връзка с път ІІІ-554. Участъкът е с обща дължина 528 м и квадратура на уличната настилка 4 113 кв.м., като прилежащата тротоарна настилка е с площ 1 731 кв.м.,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улица „Родопи“ има директна връзка с четвъртокласен път ІV-8007, който излиза на път ІІІ-554. Разглеждания участък е с дължина 627 м е с квадратура на уличната настилка 4 212 кв.м. и прилежаща тротоарна настилка с площ от 2 075 кв.м.,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— улица „Васил Левски“ има директна връзка с път ІІІ-503. Разглежданият участък е с дължина 992 м е с квадратура на уличната настилка 7 392 кв.м. и прилежаща тротоарна настилка с площ от 3 809 кв.м.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Общата прогнозната стойност на обществената поръчка е 1 738 818,25 (един милион седемстотин тридесет и осем хиляди осемстотин и осемнадесет лева и двадесет и пет стотинки) лева без ДДС от които: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2.1. Изпълнение на строително-монтажни работи — 1 656 017,48 лева без ДДС в това число: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За рехабилитация и реконструкция на улици — 1 298 800,86 лева без ДДС,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За рехабилитация и реконструкция на тротоари — 357 216,62 лева без ДДС.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2.2. Непредвидени разходи в размер на 5 % — 82 800,87 лева без ДДС.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3. Възложителят ще заплати до 5 % (пет на сто) непредвидени разходи за СМР, включени в ценовата оферта на изпълнителя, при изпълнение на поръчката, след доказаната им необходимост, направено одобрение и съответните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доказателствени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документи за извършването им и след направено изменение на настоящия договор при условията на чл. 116 от ЗОП.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II.2.5)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Критерии за възлагане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Критериите по-долу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Критерий за качество - Име: Техническо предложение за изпълнение на поръчката / Тежест: 50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Цена - Тежест: 50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II.2.6)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Прогнозна стойност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Стойност, без да се включва ДДС: 1 738 818.25 BGN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II.2.7)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Продължителност на поръчката, рамковото споразумение или динамична система за покупки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Продължителност в дни: 180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Тази поръчка подлежи на подновяване: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II.2.10)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вариантите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Ще бъдат приемани варианти: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опциите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Опции: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електронни каталози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средства от Европейския съюз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Обществената поръчка е във връзка с проект и/или програма, финансиран/а със средства от Европейския съюз: да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Идентификация на проекта: договор № 26/07/2/0/00136/23.11.2017г. за безвъзмездна финансова помощ по ПРСР 2014-2020г.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II.2.14)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Допълнителна информация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Финансирането на обществената поръчка е осигурено въз основа на договор № 26/07/2/0/00136/23.11.2017 г. за безвъзмездна финансова помощ по Програмата за развитие на селските райони 2014 г.—2020 г., Мярка 7 „Основни услуги и обновяване на селата в селските райони“,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Подмярка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инфраструктура“.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  <w:t>Раздел ІІІ: Правна, икономическа, финансова и техническа информация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lastRenderedPageBreak/>
        <w:t>III.1)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Условия за участие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III.1.1)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Годност за упражняване на професионалната дейност, включително изисквания във връзка с вписването в професионални или търговски регистри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Списък и кратко описание на условията: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Участникът трябва да е вписан в Централния професионален регистър на строителя, за изпълнение на строежи втора група, четвърта категория, съгласно Правилника за реда за вписване и водене на Централния професионален регистър на строителя, а ако е чуждестранно физическо или юридическо лице, същото да има право (съгласно националното му законодателство и при условията на взаимно признаване) да изпълни предмета на поръчката.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ДОКАЗВАНЕ: При подаване на офертата участникът декларира съответствие с изискването, като посочва в Част IV, раздел А, т. 1) от ЕЕДОП групата и категорията на строителните обекти, за които е вписан в Централния професионален регистър на строителя, както и номера на Удостоверението за вписване и дата на валидност, а за чуждестранни лица аналогична информация за съответен еквивалентен документ удостоверяващ правото на съответното лице (съгласно националното му законодателство) да изпълни предмета на поръчката.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условията на чл. 67, ал. 5 от ЗОП възложителят може да изиска документи, чрез които се доказва декларираната в ЕЕДОП информация - копие на валидно удостоверение за вписване в Централния професионален регистър на строителя или еквивалентен документ за чуждестранните участници, удостоверяващ правото на съответното лице (съгласно националното му законодателство) да изпълни предмета на поръчката.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 В случай че определения изпълнител е чуждестранен участник, той трябва да представи документ, с който да докаже, че има право да изпълнява възлаганата дейност в Република България, вкл. че е извършил регистрация в Централния професионален регистър на строителя (ЦПРС) за строежи от съответната група и категория.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III.1.2)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Икономическо и финансово състояние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Списък и кратко описание на критериите за подбор: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При подаване на офертата участникът декларира съответствие с поставеното изискване по т. 1, като попълва част IV, раздел Б, т. 2a) от ЕЕДОП.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условията на чл. 67, ал. 5 от ЗОП възложителят може да изиска документи, чрез които се доказва декларираната в ЕЕДОП информация: Справка за оборота от строително монтажни работи за последните 3 (три) приключили финансови години, в зависимост от датата на която участникът е учреден или е започнал дейността си.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При участие на обединения, които не са юридически лица, съответствието с критерия за подбор се доказва от обединението участник като цяло.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При подаване на офертата участникът декларира съответствие с поставеното изискване по т. 2, като попълва в част IV, раздел Б, т. 5) от ЕЕДОП, като посочи застрахователната сума на сключената застраховка „Професионална отговорност“, както и номер и валидност на същата.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условията на чл. 67, ал. 5 от ЗОП възложителят може да изиска документи, чрез които се доказва декларираната в ЕЕДОП информация — копие на документи доказващ наличие на застраховка „Професионална отговорност“.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участие на обединения, които не са юридически лица, съответствието с критерия за подбор се доказва от всяко от лицата, включени в обединението, които ще изпълняват строителни дейности, съобразно разпределението на участието на лицата при изпълнение на дейностите, предвидено в договора за създаване на обединение.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Забележка: Когато по основателна причина участник не е в състояние да представи поисканите от възложителя документи, той може да докаже своето икономическо и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финансовосъстояние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с помощта на всеки друг документ, който възложителят приеме за подходящ.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Изисквано минимално/ни ниво/а: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Участникът трябва да е реализирал оборот от строително-монтажни работи, през последните 3 (три) приключили финансови години в зависимост от датата, на която участникът е създаден или е започнал дейността си, в размер не по-малък от 1 700 000,00 лева. За участник — чуждестранно лице оборотът се изчислява по официалния курс на БНБ за съответната валута в лева към датата на подаване на офертата.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Участникът трябва да има валидна застраховка „Професионална отговорност в строителството“ съгласно чл. 171, ал. 1 от ЗУТ с минимална застрахователна сума, съгласно чл. 5, ал. 2 от Наредбата за условията и реда за задължително застраховане в проектирането и строителство за категорията строителство, съобразно строежа — предмет на поръчката или еквивалентна за участник — чуждестранно лице съгласно законодателство на държавата в която е установен.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III.1.3)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Технически и професионални възможности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Списък и кратко описание на критериите за подбор: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При подаване на офертата участникът декларира съответствие с поставеното изискване по т. 1, чрез попълване на Част IV, раздел В, т. 1а) от ЕЕДОП като предостави и информация за стойността, датата, на която е приключило изпълнението, мястото, вида и обема на строителството.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При условията на чл. 67, ал. 5 от ЗОП възложителят може да изиска документи, чрез които се доказва декларираната в ЕЕДОП информация — Списък на строителството, идентично или сходно с предмета на поръчката, изпълнено през последните 5 години, считано от датата на подаване на офертите с приложени към него копия на удостоверения за добро изпълнение на посоченото строителство, които да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изисквания.При условията на чл. 67, ал. 6 от ЗОП, преди сключване на договора, определения изпълнител представя 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документите по предходното изречение (ако не са били представени по реда на чл. 67, ал. 5 от ЗОП).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участие на обединения, които не са юридически лица, съответствието с критерия за подбор се доказва от обединението участник като цяло.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При подаване на офертата участникът декларира съответствие с поставеното изискване по т. 2, чрез представяне на ЕДОП, като посочи специалистите, които ще изпълняват обществената поръчка в това число: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Специалист/експерт (трите имена и позиция (длъжност), която ще заема лицето при изпълнение на обществената поръчка),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Образование (степен, специалност, година на дипломиране, № на диплома, учебно заведение),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Професионална квалификация (направление, година на придобиване, № на издадения документ, издател),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Професионален опит (месторабота, период, длъжност, основни функции, участие в проекти/обекти сходни с предмета на поръчката).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Информацията за лицата от екипа, който са служители на участника, се попълва в Част IV, раздел буква В, т. 6) от ЕЕДОП.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Информацията за лицата, който не са служители на участника, се попълва в Част IV, раздел буква В, т. 2) от ЕЕДОП.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условията на чл. 67, ал. 5 от ЗОП възложителят може да изиска документи, чрез които се доказва декларираната в ЕЕДОП информация — Списък на членовете на ръководния състав, които ще отговарят за изпълнението, в който е посочена професионална компетентност на лицата. При условията на чл. 67, ал. 6 от ЗОП, преди сключване на договора, определения изпълнител представя документите по предходното изречение (ако не са били представени по реда на чл. 67, ал. 5 от ЗОП).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При участие на обединения, които не са юридически лица, съответствието с критерия за подбор се доказва от обединението участник като цяло.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Изисквано минимално/ни ниво/а: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През последните 5 /пет/ години, считано от датата на подаване на офертата, участникът трябва да е изпълнил строително-монтажни работи, идентични или сходни с предмета на поръчката. Под „СМР идентични или сходни с предмета на поръчката“ следва да се разбира изпълнение на строително-монтажни работи в областта на изграждане и/или реконструкция и/или рехабилитация на пътна и/или улична мрежа с обща дължина минимум 2 500 л.м.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Участникът трябва да разполага екип от следните технически лица за изпълнение на поръчката: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Ръководител на обекта (1 бр.) — да притежава висше образование, специалност „Пътно строителство“ или еквивалентна, професионален опит от минимум 5 (пет) години и участие, като „ръководител или зам. ръководител на обект“ на минимум 1 обект с предмет, сходен на предмета на обществената поръчка,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Технически ръководител (1 бр.) — лице, отговарящо на изискванията на чл. 163а от ЗУТ, притежаващо професионален опит от минимум 3 (три) години и участие като „технически ръководител“ на минимум 1 обект с предмет, сходен на предмета на обществената поръчка,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— Експерт по контрол на качеството (1 бр.) — да притежава валидно удостоверение/сертификат за контрол на качеството или еквивалент,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— Експерт по безопасност и здраве (КБЗ) (1 бр.) — да притежава валидно удостоверение за Длъжностно лице по безопасност и здраве в строителството, съгласно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Под обект с предмет, сходен на предмета на обществената поръчка следва да се разбира строително-монтажни работи в областта на изграждане и/или реконструкция и/или рехабилитация на пътна и/или улична мрежа.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Забележка: Участникът трябва да предложи различни лица за всяка една длъжност от екипа за изпълнение.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III.1.5)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запазени поръчки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Условия във връзка с поръчката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III.2.2)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Условия за изпълнение на поръчката: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При подписване на договора избрания изпълнител представя документ за внесена гаранция за изпълнение под формата на парична сума, оригинал на неотменяема банкова гаранция или валидна застрахователна полица в размер на 3 % от стойността на договора без ДДС.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Изпълнителят има право да получи авансово плащане в размер до 50 % от стойността договора, ако е представил гаранция за авансово предоставени средства под формата на парична сума, оригинал на неотменяема банкова гаранция или валидна застрахователна полица. Гаранция за авансово предоставените средства не се представя, ако в 3-дневен срок от подписване на договора ИЗПЪЛНИТЕЛЯТ писмено заяви пред ВЪЗЛОЖИТЕЛЯ, че не желае да бъде извършвано авансово плащане.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III.2.3)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персонала, който отговаря за изпълнението на поръчката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Задължение за посочване на имената и професионалните квалификации на персонала, който отговаря за изпълнението на поръчката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  <w:t>Раздел ІV: Процедура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Описание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Вид процедура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Открита процедура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рамково споразумение или динамична система за покупки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намаляване на броя на решенията или офертите по време на договарянето или на диалога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IV.1.6)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електронния търг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IV.1.8)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Споразумението за държавни поръчки (GPA)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Обществената поръчка попада в обхвата на Споразумението за държавни поръчки (GPA):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Административна информация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Предишна публикация относно тази процедура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Срок за получаване на оферти или на заявления за участие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Дата: 02/05/2018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Местно време: 17:00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lastRenderedPageBreak/>
        <w:t>IV.2.3)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Прогнозна дата на изпращане на покани за търг или за участие на избраните кандидати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Езици, на които могат да бъдат подадени офертите или заявленията за участие: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Български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IV.2.6)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 xml:space="preserve">Минимален срок, през който </w:t>
      </w:r>
      <w:proofErr w:type="spellStart"/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оферентът</w:t>
      </w:r>
      <w:proofErr w:type="spellEnd"/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 xml:space="preserve"> е обвързан от офертата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Продължителност в месеци: 6 (от датата, която е посочена за дата на получаване на офертата)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IV.2.7)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Условия за отваряне на офертите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Дата: 03/05/2018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Местно време: 10:00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Място: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В зала № 14, ет. 2 в сградата на община Симеоновград, пл. „Шейновски“ № 3.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Информация относно упълномощените лица и процедурата на отваряне: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Получените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DD200E" w:rsidRPr="00DD200E" w:rsidRDefault="00DD200E" w:rsidP="00DD200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</w:pPr>
      <w:r w:rsidRPr="00DD200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bg-BG"/>
        </w:rPr>
        <w:t>Раздел VІ: Допълнителна информация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периодичното възлагане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Това представлява периодично повтаряща се поръчка: 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Информация относно електронното възлагане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Допълнителна информация: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ИЗИСКВАНИЯ КЪМ УЧАСТНИЦИТЕ: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1. Възложителят отстранява от участие в процедурата, участник за когото са налице или са възникнали преди или по време на процедурата основанията за отстраняване по чл. 54, ал. 1, т. 1—7 и чл. 55, ал. 1, т. 1 и т. 5 от ЗОП, условията по чл. 107 от ЗОП,както и обстоятелствата по чл. 3, т. 8 от ЗИФОДРЮПДРС.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2. Основанията по чл. 54, ал. 1, т. 1, 2 и 7 се отнасят за лицата, които представляват участника, членовете на управителни и надзорни органи и за др. лица, които имат правомощия да упражняват контрол при вземането на решения от тези органи.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3. В случай че участникът е обединение от физически и/или юридически лица основанията за отстраняване по чл. 54, ал. 1, т. 1—7 и чл. 55, ал. 1, т. 1 и т. 5 от ЗОП се прилагат за всеки член на обединението. Когато участникът предвижда участието на подизпълнители или ще използва ресурсите на трети лица, основанията се прилагат и за тях.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4. При подаване на оферта участникът декларира липсата на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осн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. за отстраняване и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съотв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. с критериите за подбор, чрез представяне на ЕЕДОП. В ЕЕДОП се предоставя съответната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инфор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.,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инфор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5. Когато участникът е посочил, че ще използва подизпълнители или капацитета на трети лица за доказване на съответствието с критериите за подбор, за всяко от тези лица се представя отделен ЕЕДОП.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lastRenderedPageBreak/>
        <w:t>6. В случай, че участникът е обединение, което не е юридическо лице ЕЕДОП се представя за всяко физическо и/или юридическо лице, включено в състава на обединението.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7. При подаване на офертата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Процедури по обжалване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VI.4.1)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Орган, който отговаря за процедурите по обжалване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Комисия за защита на конкуренцията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бул. „Витоша“ № 18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София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1000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България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Телефон: +359 29884070</w: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Електронна поща: </w:t>
      </w:r>
      <w:hyperlink r:id="rId15" w:history="1">
        <w:r w:rsidRPr="00DD200E">
          <w:rPr>
            <w:rFonts w:ascii="Lucida Sans Unicode" w:eastAsia="Times New Roman" w:hAnsi="Lucida Sans Unicode" w:cs="Lucida Sans Unicode"/>
            <w:color w:val="3366CC"/>
            <w:sz w:val="20"/>
            <w:u w:val="single"/>
            <w:lang w:eastAsia="bg-BG"/>
          </w:rPr>
          <w:t>cpcadmin@cpc.bg</w:t>
        </w:r>
      </w:hyperlink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br/>
        <w:t>Факс: +359 29807315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Интернет адрес:</w:t>
      </w:r>
      <w:proofErr w:type="spellStart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fldChar w:fldCharType="begin"/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instrText xml:space="preserve"> HYPERLINK "http://www.cpc.bg/" \t "_blank" </w:instrText>
      </w: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fldChar w:fldCharType="separate"/>
      </w:r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http</w:t>
      </w:r>
      <w:proofErr w:type="spellEnd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://</w:t>
      </w:r>
      <w:proofErr w:type="spellStart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www</w:t>
      </w:r>
      <w:proofErr w:type="spellEnd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.</w:t>
      </w:r>
      <w:proofErr w:type="spellStart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cpc</w:t>
      </w:r>
      <w:proofErr w:type="spellEnd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.</w:t>
      </w:r>
      <w:proofErr w:type="spellStart"/>
      <w:r w:rsidRPr="00DD200E">
        <w:rPr>
          <w:rFonts w:ascii="Lucida Sans Unicode" w:eastAsia="Times New Roman" w:hAnsi="Lucida Sans Unicode" w:cs="Lucida Sans Unicode"/>
          <w:color w:val="3366CC"/>
          <w:sz w:val="20"/>
          <w:u w:val="single"/>
          <w:lang w:eastAsia="bg-BG"/>
        </w:rPr>
        <w:t>bg</w:t>
      </w:r>
      <w:proofErr w:type="spellEnd"/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fldChar w:fldCharType="end"/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VI.4.2)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Орган, който отговаря за процедурите по медиация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VI.4.3)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Подаване на жалби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Точна информация относно краен срок/крайни срокове за подаване на жалби: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Съгласно чл. 197, ал. 1, т. 1 от ЗОП.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VI.4.4)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Служба, от която може да бъде получена информация относно подаването на жалби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lang w:eastAsia="bg-BG"/>
        </w:rPr>
        <w:t>VI.5)</w:t>
      </w:r>
      <w:r w:rsidRPr="00DD200E">
        <w:rPr>
          <w:rFonts w:ascii="Lucida Sans Unicode" w:eastAsia="Times New Roman" w:hAnsi="Lucida Sans Unicode" w:cs="Lucida Sans Unicode"/>
          <w:b/>
          <w:bCs/>
          <w:color w:val="000000"/>
          <w:sz w:val="20"/>
          <w:lang w:eastAsia="bg-BG"/>
        </w:rPr>
        <w:t>Дата на изпращане на настоящото обявление:</w:t>
      </w:r>
    </w:p>
    <w:p w:rsidR="00DD200E" w:rsidRPr="00DD200E" w:rsidRDefault="00DD200E" w:rsidP="00DD200E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>27/03/2018</w:t>
      </w:r>
    </w:p>
    <w:p w:rsidR="00DD200E" w:rsidRPr="00DD200E" w:rsidRDefault="00DD200E" w:rsidP="00DD200E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bg-BG"/>
        </w:rPr>
      </w:pPr>
      <w:r w:rsidRPr="00DD200E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bg-BG"/>
        </w:rPr>
        <w:t xml:space="preserve">Долен </w:t>
      </w:r>
      <w:proofErr w:type="spellStart"/>
      <w:r w:rsidRPr="00DD200E">
        <w:rPr>
          <w:rFonts w:ascii="Georgia" w:eastAsia="Times New Roman" w:hAnsi="Georgia" w:cs="Lucida Sans Unicode"/>
          <w:b/>
          <w:bCs/>
          <w:color w:val="2C862D"/>
          <w:sz w:val="36"/>
          <w:szCs w:val="36"/>
          <w:lang w:eastAsia="bg-BG"/>
        </w:rPr>
        <w:t>колонтитул</w:t>
      </w:r>
      <w:proofErr w:type="spellEnd"/>
    </w:p>
    <w:p w:rsidR="00DD200E" w:rsidRPr="00DD200E" w:rsidRDefault="00DD200E" w:rsidP="00DD200E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bg-BG"/>
        </w:rPr>
      </w:pPr>
      <w:r w:rsidRPr="00DD200E">
        <w:rPr>
          <w:rFonts w:ascii="Georgia" w:eastAsia="Times New Roman" w:hAnsi="Georgia" w:cs="Lucida Sans Unicode"/>
          <w:b/>
          <w:bCs/>
          <w:color w:val="003399"/>
          <w:lang w:eastAsia="bg-BG"/>
        </w:rPr>
        <w:t>Други сайтове, поддържани от Службата за публикации</w:t>
      </w:r>
    </w:p>
    <w:p w:rsidR="00DD200E" w:rsidRPr="00DD200E" w:rsidRDefault="00DD200E" w:rsidP="00DD200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16" w:tooltip="Връзка към уебсайта EUR-Lex" w:history="1">
        <w:proofErr w:type="spellStart"/>
        <w:r w:rsidRPr="00DD200E">
          <w:rPr>
            <w:rFonts w:ascii="Lucida Sans Unicode" w:eastAsia="Times New Roman" w:hAnsi="Lucida Sans Unicode" w:cs="Lucida Sans Unicode"/>
            <w:b/>
            <w:bCs/>
            <w:color w:val="0099CC"/>
            <w:sz w:val="20"/>
            <w:lang w:eastAsia="bg-BG"/>
          </w:rPr>
          <w:t>Eur-LEX</w:t>
        </w:r>
        <w:proofErr w:type="spellEnd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  <w:hyperlink r:id="rId17" w:tooltip="Връзка към уебсайта на онлайн книжарницата EU Bookshop" w:history="1">
        <w:r w:rsidRPr="00DD200E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lang w:eastAsia="bg-BG"/>
          </w:rPr>
          <w:t xml:space="preserve">EU </w:t>
        </w:r>
        <w:proofErr w:type="spellStart"/>
        <w:r w:rsidRPr="00DD200E">
          <w:rPr>
            <w:rFonts w:ascii="Lucida Sans Unicode" w:eastAsia="Times New Roman" w:hAnsi="Lucida Sans Unicode" w:cs="Lucida Sans Unicode"/>
            <w:b/>
            <w:bCs/>
            <w:color w:val="FF9933"/>
            <w:sz w:val="20"/>
            <w:lang w:eastAsia="bg-BG"/>
          </w:rPr>
          <w:t>Bookshop</w:t>
        </w:r>
        <w:proofErr w:type="spellEnd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  <w:hyperlink r:id="rId18" w:tooltip="Връзка към портала за свободно достъпни данни на ЕС" w:history="1">
        <w:r w:rsidRPr="00DD200E">
          <w:rPr>
            <w:rFonts w:ascii="Lucida Sans Unicode" w:eastAsia="Times New Roman" w:hAnsi="Lucida Sans Unicode" w:cs="Lucida Sans Unicode"/>
            <w:b/>
            <w:bCs/>
            <w:color w:val="7082B1"/>
            <w:sz w:val="20"/>
            <w:lang w:eastAsia="bg-BG"/>
          </w:rPr>
          <w:t>Портал за свободно достъпни данни на ЕС</w:t>
        </w:r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</w:p>
    <w:p w:rsidR="00DD200E" w:rsidRPr="00DD200E" w:rsidRDefault="00DD200E" w:rsidP="00DD200E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19" w:tooltip="Връзка към онлайн указателя EU Whoiswho" w:history="1">
        <w:r w:rsidRPr="00DD200E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lang w:eastAsia="bg-BG"/>
          </w:rPr>
          <w:t xml:space="preserve">EU </w:t>
        </w:r>
        <w:proofErr w:type="spellStart"/>
        <w:r w:rsidRPr="00DD200E">
          <w:rPr>
            <w:rFonts w:ascii="Lucida Sans Unicode" w:eastAsia="Times New Roman" w:hAnsi="Lucida Sans Unicode" w:cs="Lucida Sans Unicode"/>
            <w:b/>
            <w:bCs/>
            <w:color w:val="EE441E"/>
            <w:sz w:val="20"/>
            <w:lang w:eastAsia="bg-BG"/>
          </w:rPr>
          <w:t>Whoiswho</w:t>
        </w:r>
        <w:proofErr w:type="spellEnd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  <w:hyperlink r:id="rId20" w:tooltip="Връзка към уебсайта за научни изследвания CORDIS" w:history="1">
        <w:r w:rsidRPr="00DD200E">
          <w:rPr>
            <w:rFonts w:ascii="Lucida Sans Unicode" w:eastAsia="Times New Roman" w:hAnsi="Lucida Sans Unicode" w:cs="Lucida Sans Unicode"/>
            <w:b/>
            <w:bCs/>
            <w:color w:val="EE5088"/>
            <w:sz w:val="20"/>
            <w:lang w:eastAsia="bg-BG"/>
          </w:rPr>
          <w:t>CORDIS</w:t>
        </w:r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  <w:hyperlink r:id="rId21" w:tooltip="" w:history="1"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 </w:t>
        </w:r>
      </w:hyperlink>
    </w:p>
    <w:p w:rsidR="00DD200E" w:rsidRPr="00DD200E" w:rsidRDefault="00DD200E" w:rsidP="00DD200E">
      <w:pPr>
        <w:shd w:val="clear" w:color="auto" w:fill="FFFFFF"/>
        <w:spacing w:before="75" w:after="150" w:line="240" w:lineRule="auto"/>
        <w:outlineLvl w:val="1"/>
        <w:rPr>
          <w:rFonts w:ascii="Georgia" w:eastAsia="Times New Roman" w:hAnsi="Georgia" w:cs="Lucida Sans Unicode"/>
          <w:b/>
          <w:bCs/>
          <w:color w:val="003399"/>
          <w:lang w:eastAsia="bg-BG"/>
        </w:rPr>
      </w:pPr>
      <w:r w:rsidRPr="00DD200E">
        <w:rPr>
          <w:rFonts w:ascii="Georgia" w:eastAsia="Times New Roman" w:hAnsi="Georgia" w:cs="Lucida Sans Unicode"/>
          <w:b/>
          <w:bCs/>
          <w:color w:val="003399"/>
          <w:lang w:eastAsia="bg-BG"/>
        </w:rPr>
        <w:t>Практическа информация</w:t>
      </w:r>
    </w:p>
    <w:p w:rsidR="00DD200E" w:rsidRPr="00DD200E" w:rsidRDefault="00DD200E" w:rsidP="00DD200E">
      <w:pPr>
        <w:shd w:val="clear" w:color="auto" w:fill="FFFFFF"/>
        <w:spacing w:after="75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bg-BG"/>
        </w:rPr>
      </w:pPr>
      <w:hyperlink r:id="rId22" w:history="1">
        <w:proofErr w:type="spellStart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Помощ</w:t>
        </w:r>
      </w:hyperlink>
      <w:hyperlink r:id="rId23" w:tooltip="Изпращане на съобщение до екипа на TED" w:history="1"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За</w:t>
        </w:r>
        <w:proofErr w:type="spellEnd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 xml:space="preserve"> </w:t>
        </w:r>
        <w:proofErr w:type="spellStart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контакти</w:t>
        </w:r>
      </w:hyperlink>
      <w:hyperlink r:id="rId24" w:tooltip="Към уебсайта eCERTIS" w:history="1"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>Информация</w:t>
        </w:r>
        <w:proofErr w:type="spellEnd"/>
        <w:r w:rsidRPr="00DD200E">
          <w:rPr>
            <w:rFonts w:ascii="Lucida Sans Unicode" w:eastAsia="Times New Roman" w:hAnsi="Lucida Sans Unicode" w:cs="Lucida Sans Unicode"/>
            <w:color w:val="444444"/>
            <w:sz w:val="20"/>
            <w:lang w:eastAsia="bg-BG"/>
          </w:rPr>
          <w:t xml:space="preserve"> за удостоверенията, изисквани при възлагане на обществени поръчки в ЕС </w:t>
        </w:r>
      </w:hyperlink>
    </w:p>
    <w:p w:rsidR="00DD200E" w:rsidRPr="00DD200E" w:rsidRDefault="00DD200E" w:rsidP="00DD200E">
      <w:pPr>
        <w:shd w:val="clear" w:color="auto" w:fill="F5F5F5"/>
        <w:spacing w:after="0" w:line="240" w:lineRule="auto"/>
        <w:rPr>
          <w:rFonts w:ascii="Lucida Sans Unicode" w:eastAsia="Times New Roman" w:hAnsi="Lucida Sans Unicode" w:cs="Lucida Sans Unicode"/>
          <w:color w:val="444444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444444"/>
          <w:lang w:eastAsia="bg-BG"/>
        </w:rPr>
        <w:t>ISSN 2529-5705</w:t>
      </w:r>
    </w:p>
    <w:p w:rsidR="00DD200E" w:rsidRPr="00DD200E" w:rsidRDefault="00DD200E" w:rsidP="00DD200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 w:right="180"/>
        <w:rPr>
          <w:rFonts w:ascii="Lucida Sans Unicode" w:eastAsia="Times New Roman" w:hAnsi="Lucida Sans Unicode" w:cs="Lucida Sans Unicode"/>
          <w:color w:val="444444"/>
          <w:lang w:eastAsia="bg-BG"/>
        </w:rPr>
      </w:pPr>
      <w:r w:rsidRPr="00DD200E">
        <w:rPr>
          <w:rFonts w:ascii="Lucida Sans Unicode" w:eastAsia="Times New Roman" w:hAnsi="Lucida Sans Unicode" w:cs="Lucida Sans Unicode"/>
          <w:color w:val="444444"/>
          <w:lang w:eastAsia="bg-BG"/>
        </w:rPr>
        <w:t>Последна актуализация: 28/03/2018</w:t>
      </w:r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25" w:tooltip="Карта на сайта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Карта на сайта</w:t>
        </w:r>
      </w:hyperlink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26" w:tooltip="Какво представлява TED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За TED</w:t>
        </w:r>
      </w:hyperlink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27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Помощ</w:t>
        </w:r>
      </w:hyperlink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28" w:tooltip="Правна информация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Важна правна информация</w:t>
        </w:r>
      </w:hyperlink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29" w:tooltip="Достъп до страницата за бисквитките" w:history="1">
        <w:proofErr w:type="spellStart"/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Бисквитки</w:t>
        </w:r>
        <w:proofErr w:type="spellEnd"/>
      </w:hyperlink>
    </w:p>
    <w:p w:rsidR="00DD200E" w:rsidRPr="00DD200E" w:rsidRDefault="00DD200E" w:rsidP="00DD200E">
      <w:pPr>
        <w:numPr>
          <w:ilvl w:val="0"/>
          <w:numId w:val="3"/>
        </w:numPr>
        <w:pBdr>
          <w:right w:val="single" w:sz="6" w:space="4" w:color="DDDDDD"/>
        </w:pBdr>
        <w:shd w:val="clear" w:color="auto" w:fill="F5F5F5"/>
        <w:spacing w:before="100" w:beforeAutospacing="1" w:after="100" w:afterAutospacing="1" w:line="240" w:lineRule="auto"/>
        <w:ind w:left="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30" w:tooltip="Изпращане на съобщение до екипа на TED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За контакти</w:t>
        </w:r>
      </w:hyperlink>
    </w:p>
    <w:p w:rsidR="00DD200E" w:rsidRPr="00DD200E" w:rsidRDefault="00DD200E" w:rsidP="00DD200E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 w:right="180"/>
        <w:rPr>
          <w:rFonts w:ascii="Lucida Sans Unicode" w:eastAsia="Times New Roman" w:hAnsi="Lucida Sans Unicode" w:cs="Lucida Sans Unicode"/>
          <w:color w:val="444444"/>
          <w:lang w:eastAsia="bg-BG"/>
        </w:rPr>
      </w:pPr>
      <w:hyperlink r:id="rId31" w:anchor="topSite" w:tooltip="Връщане в горната част на страницата" w:history="1">
        <w:r w:rsidRPr="00DD200E">
          <w:rPr>
            <w:rFonts w:ascii="Lucida Sans Unicode" w:eastAsia="Times New Roman" w:hAnsi="Lucida Sans Unicode" w:cs="Lucida Sans Unicode"/>
            <w:color w:val="444444"/>
            <w:lang w:eastAsia="bg-BG"/>
          </w:rPr>
          <w:t>Нагоре</w:t>
        </w:r>
      </w:hyperlink>
    </w:p>
    <w:p w:rsidR="00713E21" w:rsidRDefault="00713E21"/>
    <w:sectPr w:rsidR="00713E21" w:rsidSect="0071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AF"/>
    <w:multiLevelType w:val="multilevel"/>
    <w:tmpl w:val="660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04B13"/>
    <w:multiLevelType w:val="multilevel"/>
    <w:tmpl w:val="76D4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3390D"/>
    <w:multiLevelType w:val="multilevel"/>
    <w:tmpl w:val="AC5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00E"/>
    <w:rsid w:val="00713E21"/>
    <w:rsid w:val="00D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1"/>
  </w:style>
  <w:style w:type="paragraph" w:styleId="2">
    <w:name w:val="heading 2"/>
    <w:basedOn w:val="a"/>
    <w:link w:val="20"/>
    <w:uiPriority w:val="9"/>
    <w:qFormat/>
    <w:rsid w:val="00DD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DD200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Hyperlink"/>
    <w:basedOn w:val="a0"/>
    <w:uiPriority w:val="99"/>
    <w:semiHidden/>
    <w:unhideWhenUsed/>
    <w:rsid w:val="00DD200E"/>
    <w:rPr>
      <w:color w:val="0000FF"/>
      <w:u w:val="single"/>
    </w:rPr>
  </w:style>
  <w:style w:type="character" w:customStyle="1" w:styleId="date">
    <w:name w:val="date"/>
    <w:basedOn w:val="a0"/>
    <w:rsid w:val="00DD200E"/>
  </w:style>
  <w:style w:type="character" w:customStyle="1" w:styleId="oj">
    <w:name w:val="oj"/>
    <w:basedOn w:val="a0"/>
    <w:rsid w:val="00DD200E"/>
  </w:style>
  <w:style w:type="character" w:customStyle="1" w:styleId="heading">
    <w:name w:val="heading"/>
    <w:basedOn w:val="a0"/>
    <w:rsid w:val="00DD200E"/>
  </w:style>
  <w:style w:type="paragraph" w:styleId="a4">
    <w:name w:val="Normal (Web)"/>
    <w:basedOn w:val="a"/>
    <w:uiPriority w:val="99"/>
    <w:semiHidden/>
    <w:unhideWhenUsed/>
    <w:rsid w:val="00DD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DD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DD200E"/>
  </w:style>
  <w:style w:type="character" w:customStyle="1" w:styleId="timark">
    <w:name w:val="timark"/>
    <w:basedOn w:val="a0"/>
    <w:rsid w:val="00DD200E"/>
  </w:style>
  <w:style w:type="character" w:customStyle="1" w:styleId="nutscode">
    <w:name w:val="nutscode"/>
    <w:basedOn w:val="a0"/>
    <w:rsid w:val="00DD200E"/>
  </w:style>
  <w:style w:type="character" w:customStyle="1" w:styleId="cpvcode">
    <w:name w:val="cpvcode"/>
    <w:basedOn w:val="a0"/>
    <w:rsid w:val="00DD200E"/>
  </w:style>
  <w:style w:type="character" w:customStyle="1" w:styleId="eur-lex-blue">
    <w:name w:val="eur-lex-blue"/>
    <w:basedOn w:val="a0"/>
    <w:rsid w:val="00DD200E"/>
  </w:style>
  <w:style w:type="character" w:customStyle="1" w:styleId="bookshop-orange">
    <w:name w:val="bookshop-orange"/>
    <w:basedOn w:val="a0"/>
    <w:rsid w:val="00DD200E"/>
  </w:style>
  <w:style w:type="character" w:customStyle="1" w:styleId="opendata-grey">
    <w:name w:val="opendata-grey"/>
    <w:basedOn w:val="a0"/>
    <w:rsid w:val="00DD200E"/>
  </w:style>
  <w:style w:type="character" w:customStyle="1" w:styleId="whoswho-red">
    <w:name w:val="whoswho-red"/>
    <w:basedOn w:val="a0"/>
    <w:rsid w:val="00DD200E"/>
  </w:style>
  <w:style w:type="character" w:customStyle="1" w:styleId="cordis-pink">
    <w:name w:val="cordis-pink"/>
    <w:basedOn w:val="a0"/>
    <w:rsid w:val="00DD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0266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8026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0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6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7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0033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49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21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9901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5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0970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46611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914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18933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76079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51769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35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28400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351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14679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740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38909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73875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58111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1110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84192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993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408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742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10855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21953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77504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077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841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8595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61213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85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573440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7924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3907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88796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35051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50586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80359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5087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41468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1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98121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28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98134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94898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70304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1345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2113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26536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75722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2507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446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93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45407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25802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090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987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537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93176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6038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51201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22812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1461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3177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08539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42877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9210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4618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0273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8229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00828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1229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9249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0944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6521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9459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6969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9292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2353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3400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06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57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746985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5265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85203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872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069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0217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27967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07345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33652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19002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65564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72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3433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20905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93095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6925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22171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27456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32552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24898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45305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165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9403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682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45115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133826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00549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5317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9913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78350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8128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7953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2587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34631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6531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40563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03207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46405">
          <w:marLeft w:val="0"/>
          <w:marRight w:val="0"/>
          <w:marTop w:val="0"/>
          <w:marBottom w:val="0"/>
          <w:divBdr>
            <w:top w:val="single" w:sz="24" w:space="0" w:color="2C862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DDDDD"/>
                  </w:divBdr>
                  <w:divsChild>
                    <w:div w:id="11909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3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7961">
          <w:marLeft w:val="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31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34132-2018:TEXT:BG:HTML" TargetMode="External"/><Relationship Id="rId13" Type="http://schemas.openxmlformats.org/officeDocument/2006/relationships/hyperlink" Target="http://www.simeonovgrad.bg/profilebuyer" TargetMode="External"/><Relationship Id="rId18" Type="http://schemas.openxmlformats.org/officeDocument/2006/relationships/hyperlink" Target="http://data.europa.eu/euodp/bg" TargetMode="External"/><Relationship Id="rId26" Type="http://schemas.openxmlformats.org/officeDocument/2006/relationships/hyperlink" Target="javascript:%24do%28%27gp%27%2C%27pid%3DaboutTed%27%2Ctrue%2Cfalse%2C%27_self%27%29%3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s.europa.eu/bg/home" TargetMode="External"/><Relationship Id="rId7" Type="http://schemas.openxmlformats.org/officeDocument/2006/relationships/hyperlink" Target="http://ted.europa.eu/TED/notice/udl?uri=TED:NOTICE:134132-2018:TEXT:BG:HTML" TargetMode="External"/><Relationship Id="rId12" Type="http://schemas.openxmlformats.org/officeDocument/2006/relationships/hyperlink" Target="http://www.simeonovgrad.bg/" TargetMode="External"/><Relationship Id="rId17" Type="http://schemas.openxmlformats.org/officeDocument/2006/relationships/hyperlink" Target="https://publications.europa.eu/bg/web/general-publications/publications" TargetMode="External"/><Relationship Id="rId25" Type="http://schemas.openxmlformats.org/officeDocument/2006/relationships/hyperlink" Target="javascript:%24do%28%27gp%27%2C%27pid%3DsiteMap%27%2Ctrue%2Cfalse%2C%27_self%27%29%3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-lex.europa.eu/homepage.html?locale=bg" TargetMode="External"/><Relationship Id="rId20" Type="http://schemas.openxmlformats.org/officeDocument/2006/relationships/hyperlink" Target="http://cordis.europa.eu/" TargetMode="External"/><Relationship Id="rId29" Type="http://schemas.openxmlformats.org/officeDocument/2006/relationships/hyperlink" Target="javascript:%24do%28%27gp%27%2C%27pid%3DcookieChoice%27%2Ctrue%2Cfalse%2C%27_self%27%29%3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134132-2018:TEXT:BG:HTML" TargetMode="External"/><Relationship Id="rId11" Type="http://schemas.openxmlformats.org/officeDocument/2006/relationships/hyperlink" Target="mailto:obshtina_simgrad@abv.bg?subject=TED" TargetMode="External"/><Relationship Id="rId24" Type="http://schemas.openxmlformats.org/officeDocument/2006/relationships/hyperlink" Target="https://ec.europa.eu/tools/ecertis/searc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ted.europa.eu/udl?uri=TED:NOTICE:134132-2018:DATA:BG:HTML&amp;tabId=3" TargetMode="External"/><Relationship Id="rId15" Type="http://schemas.openxmlformats.org/officeDocument/2006/relationships/hyperlink" Target="mailto:cpcadmin@cpc.bg?subject=TED" TargetMode="External"/><Relationship Id="rId23" Type="http://schemas.openxmlformats.org/officeDocument/2006/relationships/hyperlink" Target="javascript:%24do%28%27gp%27%2C%27pid%3Dcontact%27%2Ctrue%2Cfalse%2C%27_self%27%29%3B" TargetMode="External"/><Relationship Id="rId28" Type="http://schemas.openxmlformats.org/officeDocument/2006/relationships/hyperlink" Target="javascript:%24do%28%27gp%27%2C%27pid%3DlegalNotice%27%2Ctrue%2Cfalse%2C%27_self%27%29%3B" TargetMode="External"/><Relationship Id="rId10" Type="http://schemas.openxmlformats.org/officeDocument/2006/relationships/hyperlink" Target="http://ted.europa.eu/TED/notice/udl?uri=TED:NOTICE:134132-2018:TEXT:BG:HTML" TargetMode="External"/><Relationship Id="rId19" Type="http://schemas.openxmlformats.org/officeDocument/2006/relationships/hyperlink" Target="http://europa.eu/whoiswho/public/index.cfm?lang=bg" TargetMode="External"/><Relationship Id="rId31" Type="http://schemas.openxmlformats.org/officeDocument/2006/relationships/hyperlink" Target="http://ted.europa.eu/TED/notice/udl?uri=TED:NOTICE:134132-2018:TEXT:BG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34132-2018:TEXT:BG:HTML" TargetMode="External"/><Relationship Id="rId14" Type="http://schemas.openxmlformats.org/officeDocument/2006/relationships/hyperlink" Target="http://www.simeonovgrad.bg/" TargetMode="External"/><Relationship Id="rId22" Type="http://schemas.openxmlformats.org/officeDocument/2006/relationships/hyperlink" Target="http://ted.europa.eu/TED/misc/helpPage.do?helpPageId=displayNotice" TargetMode="External"/><Relationship Id="rId27" Type="http://schemas.openxmlformats.org/officeDocument/2006/relationships/hyperlink" Target="http://ted.europa.eu/TED/misc/helpPage.do?helpPageId=displayNotice" TargetMode="External"/><Relationship Id="rId30" Type="http://schemas.openxmlformats.org/officeDocument/2006/relationships/hyperlink" Target="javascript:%24do%28%27gp%27%2C%27pid%3Dcontact%27%2Ctrue%2Cfalse%2C%27_self%27%29%3B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3550</Words>
  <Characters>20241</Characters>
  <Application>Microsoft Office Word</Application>
  <DocSecurity>0</DocSecurity>
  <Lines>168</Lines>
  <Paragraphs>47</Paragraphs>
  <ScaleCrop>false</ScaleCrop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2018-03-28T13:47:00Z</dcterms:created>
  <dcterms:modified xsi:type="dcterms:W3CDTF">2018-03-28T13:48:00Z</dcterms:modified>
</cp:coreProperties>
</file>