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E" w:rsidRPr="00C81C8E" w:rsidRDefault="00C81C8E" w:rsidP="00C81C8E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Партида на възложителя: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Поделение:</w:t>
            </w: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Изходящ номер: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С-1522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от дата: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11/04/2018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Съгласен съм с </w:t>
            </w:r>
            <w:hyperlink r:id="rId4" w:tgtFrame="_blank" w:history="1">
              <w:r w:rsidRPr="00C81C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Общите условия</w:t>
              </w:r>
            </w:hyperlink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на АОП за използване на услугата Електронен подател:</w:t>
            </w: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изпращане на обявлението до ОВ на ЕС:</w:t>
            </w: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Заведено в преписка: </w:t>
            </w:r>
            <w:r w:rsidRPr="00C81C8E">
              <w:rPr>
                <w:rFonts w:ascii="Courier New" w:eastAsia="Times New Roman" w:hAnsi="Courier New" w:cs="Courier New"/>
                <w:b/>
                <w:bCs/>
                <w:sz w:val="20"/>
              </w:rPr>
              <w:t>00638-2018-0008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nnnnn-yyyy-xxxx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C81C8E" w:rsidRPr="00C81C8E" w:rsidRDefault="00C81C8E" w:rsidP="00C81C8E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Притурка към Официален вестник на Европейския съюз</w:t>
            </w:r>
          </w:p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онлайн формуляри: </w:t>
            </w:r>
            <w:hyperlink r:id="rId6" w:tgtFrame="_blank" w:history="1">
              <w:r w:rsidRPr="00C81C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http://simap.ted.europa.eu</w:t>
              </w:r>
            </w:hyperlink>
          </w:p>
        </w:tc>
      </w:tr>
    </w:tbl>
    <w:p w:rsidR="00C81C8E" w:rsidRPr="00C81C8E" w:rsidRDefault="00C81C8E" w:rsidP="00C81C8E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Обявление за поръчка</w:t>
      </w:r>
    </w:p>
    <w:p w:rsidR="00C81C8E" w:rsidRPr="00C81C8E" w:rsidRDefault="00C81C8E" w:rsidP="00C81C8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t>Директива 2014/24/ЕС/ЗОП</w:t>
      </w:r>
    </w:p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</w:rPr>
        <w:t> Раздел I: Възлагащ орган</w:t>
      </w: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I.1) Наименование и адреси</w:t>
      </w: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  <w:r w:rsidRPr="00C81C8E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</w:rPr>
        <w:t>1</w:t>
      </w: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  <w:r w:rsidRPr="00C81C8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C81C8E" w:rsidRPr="00C81C8E" w:rsidTr="00C81C8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Официално наименование: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регистрационен номер: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000903729</w:t>
            </w:r>
          </w:p>
        </w:tc>
      </w:tr>
      <w:tr w:rsidR="00C81C8E" w:rsidRPr="00C81C8E" w:rsidTr="00C81C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адрес: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пл. Шейновски № 3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код NUTS: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 код: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България</w:t>
            </w:r>
          </w:p>
        </w:tc>
      </w:tr>
      <w:tr w:rsidR="00C81C8E" w:rsidRPr="00C81C8E" w:rsidTr="00C81C8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за контакт: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+359 3781-2341</w:t>
            </w:r>
          </w:p>
        </w:tc>
      </w:tr>
      <w:tr w:rsidR="00C81C8E" w:rsidRPr="00C81C8E" w:rsidTr="00C81C8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поща: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+359 3781-2006</w:t>
            </w:r>
          </w:p>
        </w:tc>
      </w:tr>
      <w:tr w:rsidR="00C81C8E" w:rsidRPr="00C81C8E" w:rsidTr="00C81C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 адрес/и</w:t>
            </w:r>
          </w:p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Основен адрес: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C81C8E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</w:rPr>
                <w:t>http://www.simeonovgrad.bg/</w:t>
              </w:r>
            </w:hyperlink>
          </w:p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 профила на купувача: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(URL)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C81C8E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</w:rPr>
                <w:t>http://www.simeonovgrad.bg/profilebuyer</w:t>
              </w:r>
            </w:hyperlink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обхваща съвместно възлагане: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Поръчката се възлага от централен орган за покупки: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(URL): </w:t>
                  </w:r>
                  <w:hyperlink r:id="rId9" w:tgtFrame="_blank" w:history="1">
                    <w:r w:rsidRPr="00C81C8E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</w:rPr>
                      <w:t>http://www.simeonovgrad.bg/profilebuyer</w:t>
                    </w:r>
                  </w:hyperlink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Горепосоченото/</w:t>
                        </w:r>
                        <w:proofErr w:type="spellStart"/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Горепосоченото/</w:t>
                        </w:r>
                        <w:proofErr w:type="spellStart"/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ите</w:t>
                        </w:r>
                        <w:proofErr w:type="spellEnd"/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електронно посредством: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(URL):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I.4) Вид на възлагащия орган</w:t>
      </w: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I.5) Основна дейност</w:t>
      </w: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</w:rPr>
        <w:t>Раздел II: Предмет</w:t>
      </w: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1"/>
        <w:gridCol w:w="1966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II.1.1) Наименование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Извършване на СМР, включително вертикална планировка и необходимо присъщите доставки, за обект: „Реконструкция и модернизация на детска градина ...продължава в раздел VI.3. Допълнителна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Референтен номер: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II.1.2) Основен CPV код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45200000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Допълнителен CPV код: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II.1.3) Вид на поръчка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Строителство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II.1.4) Кратко описание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Предвидените СМР ще се извършват съгласно одобрения инвестиционен проект. Видовете СМР, които подлежат на изпълнение и техните количества са подробно описани в приложените към настоящата документация за участие Количествена сметка – Образец № 5 към документацията за обществената поръчка. Описания и изисквания към плануваните видове СМР са описани в Техническа спецификация – Приложение № 1 към документацията за обществената поръчка.</w:t>
            </w: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II.1.5) Прогнозна обща стойност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Стойност, без да се включва ДДС: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817962.62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Валута: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BGN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II.2) Описание </w:t>
            </w:r>
            <w:r w:rsidRPr="00C81C8E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60"/>
              <w:gridCol w:w="11340"/>
            </w:tblGrid>
            <w:tr w:rsidR="00C81C8E" w:rsidRPr="00C81C8E" w:rsidTr="00C81C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II.2.1) Наименование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Обособена позиция номер: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II.2.2) Допълнителни CPV кодове </w:t>
                  </w: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Основен CPV код: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45200000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Допълнителен CPV код: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II.2.3) Място на изпълнение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код NUTS: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BG422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Основно място на изпълнение: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Територията на община Симеоновград.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II.2.4) Описание на обществената поръчка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Предвидените СМР ще се извършват съгласно одобрения инвестиционен проект. Видовете СМР, които подлежат на изпълнение и техните количества са подробно описани в приложените към настоящата документация за участие Количествена сметка – Образец № 5 към документацията за обществената поръчка. Описания и изисквания към плануваните видове СМР са описани в Техническа спецификация – Приложение № 1 към документацията за обществената поръчка.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II.2.5) Критерии за възлагане</w:t>
                        </w: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C81C8E" w:rsidRPr="00C81C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81C8E" w:rsidRPr="00C81C8E" w:rsidRDefault="00C81C8E" w:rsidP="00C81C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1429"/>
                        </w:tblGrid>
                        <w:tr w:rsidR="00C81C8E" w:rsidRPr="00C81C8E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81C8E" w:rsidRPr="00C81C8E" w:rsidRDefault="00C81C8E" w:rsidP="00C81C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Критерий за качество: </w:t>
                              </w: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20</w:t>
                              </w: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81C8E">
                                <w:rPr>
                                  <w:rFonts w:ascii="Courier New" w:eastAsia="Times New Roman" w:hAnsi="Courier New" w:cs="Courier New"/>
                                  <w:sz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81C8E" w:rsidRPr="00C81C8E" w:rsidRDefault="00C81C8E" w:rsidP="00C81C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C81C8E" w:rsidRPr="00C81C8E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C81C8E" w:rsidRPr="00C81C8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C81C8E" w:rsidRPr="00C81C8E" w:rsidRDefault="00C81C8E" w:rsidP="00C81C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81C8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C81C8E" w:rsidRPr="00C81C8E" w:rsidRDefault="00C81C8E" w:rsidP="00C81C8E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C81C8E" w:rsidRPr="00C81C8E" w:rsidRDefault="00C81C8E" w:rsidP="00C81C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Тежест: </w:t>
                              </w: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II.2.6) Прогнозна стойност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Стойност, без да се включва ДДС: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817962.62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Валута: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BGN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Продължителност в дни: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360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Описание на </w:t>
                  </w:r>
                  <w:proofErr w:type="spellStart"/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подновяванията</w:t>
                  </w:r>
                  <w:proofErr w:type="spellEnd"/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II.2.9) Информация относно ограничение за броя на </w:t>
                  </w:r>
                  <w:proofErr w:type="spellStart"/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кадидатите</w:t>
                  </w:r>
                  <w:proofErr w:type="spellEnd"/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 които ще бъдат поканени </w:t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(с изключение на открити процедури)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Очакван брой кандидати: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или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Предвиден минимален брой:  </w:t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/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Максимален брой: (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кандиадти</w:t>
                  </w:r>
                  <w:proofErr w:type="spellEnd"/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II.2.10) Информация относно вариантите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II.2.11) Информация относно опциите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Описание на опциите: 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II.2.12) Информация относно електронни каталози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II.2.13) Информация относно средства от Европейския съюз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9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Идентификация на проекта: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 xml:space="preserve">Дог. № 26/07/2/0/00511/ 04.12.2017 г. за БФП по </w:t>
                  </w:r>
                  <w:proofErr w:type="spellStart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Подмярка</w:t>
                  </w:r>
                  <w:proofErr w:type="spellEnd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 xml:space="preserve"> 7.2. от мярка – 7 от ПРСР 2014-2020г., </w:t>
                  </w:r>
                  <w:proofErr w:type="spellStart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съфинансирана</w:t>
                  </w:r>
                  <w:proofErr w:type="spellEnd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 xml:space="preserve"> от </w:t>
                  </w:r>
                  <w:proofErr w:type="spellStart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Европ</w:t>
                  </w:r>
                  <w:proofErr w:type="spellEnd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 xml:space="preserve">. </w:t>
                  </w:r>
                  <w:proofErr w:type="spellStart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земедел</w:t>
                  </w:r>
                  <w:proofErr w:type="spellEnd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 xml:space="preserve">. фонд за </w:t>
                  </w:r>
                  <w:proofErr w:type="spellStart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разв</w:t>
                  </w:r>
                  <w:proofErr w:type="spellEnd"/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. на селските р-ни.</w:t>
                  </w:r>
                </w:p>
              </w:tc>
            </w:tr>
            <w:tr w:rsidR="00C81C8E" w:rsidRPr="00C81C8E" w:rsidT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II.2.14) Допълнителна информация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 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</w:rPr>
        <w:lastRenderedPageBreak/>
        <w:t> Раздел III: Правна, икономическа, финансова и техническа информация </w:t>
      </w: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Списък и кратко описание на условията: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Изискване: Участниците в обществената поръчка трябва да са вписани в Централния професионален регистър на строителя (ЦПРС) към Камара на строителите в България (КСБ), а за чуждестранните лица – в аналогичен регистър съгласно законодателството на държава – членка на Европейския съюз, в която са установени или на друга държава – страна по Споразумението за Европейското икономическо пространство.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Минимално ниво: участникът следва да има правоспособност да изпълнява строежи от категорията строеж, в която попада обекта на поръчката – първа група, четвърта категория.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Удостоверяване: Обстоятелството се удостоверява с посочване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, Част IV: Критерии за подбор, раздел А. Годност чрез изписване на данните за вписването в ЦПРС, респ. в аналогичен регистър, дали съответните документи са на разположение в електронен формат; посочва се уеб адрес, орган или служба, издаващи документа за регистрация и точно позоваване на документа (рег. номер и период на валидност) и обхвата на регистрацията (групата и категорията строежи, описани в него).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В хипотезата на чл. 67, ал. 5 от ЗОП възложителят може да изиска от участниците по всяко време да представят всички или част от документите, на които участникът се позовава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Доказване: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При сключване на договора възложителят изисква копие на Удостоверение за вписване в ЦПРС към Строителната камара за изпълнение на строежи от категорията строеж, в която попадат обектите на поръчката.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В случай, че данните могат да бъдат осигурени чрез пряк и безплатен достъп до национална база данни при държавите членки, Възложителя не изисква такъв документ при сключване на договора.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В случай, че участникът е чуждестранно лице той може да представи валиден еквивалентен документ или декларация или удостоверение, издадени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доказващи вписването на участника в съответен регистър на тази държава.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III.1.2) Икономическо и финансово състояние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Критерии за подбор, както е указано в документацията за обществената поръчка: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Списък и кратко описание на критериите за подбор: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1. Изискване за реализиран минимален общ оборот: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Участниците следва да са реализирали минимален общ оборот, изчислен на база годишните обороти.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Забележка: Съгласно § 2, т. 66 от ДР на ЗОП “годишен общ оборот“ е сумата от нетните приходи от продажби.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Удостоверяване: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При подаване на офертата участникът попълва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, Част IV: „Критерии за подбор“, раздел Б: „Икономическо и финансово състояние“ данни за неговия „годишен общ оборот“ за последните три финансови години, в зависимост от датата, на която е създаден или е започнал дейността си, съгласно годишните му финансови отчети, както и информация за документите, въз основа на които участникът декларира данните.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В хипотезата на чл.67, ал.5 от ЗОП възложителят може да изиска от участниците по всяко време да представят всички или част от документите, на които участникът се позовава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lastRenderedPageBreak/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Доказване: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При сключване на договора участникът, избран за изпълнител следва да представи заверени копия на годишните финансови отчети за последните приключили 3 (три) финансови години, в зависимост от датата, на която е създаден или е започнал дейността си, или техните съставни части, когато публикуването им се изисква.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2. Изискване за наличие на застраховка: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Участниците в обществената поръчка следва да имат застраховка „Професионална отговорност“, съгласно чл. 171, ал. 1 от Закона за устройство на територията. За участник, установен/регистриран извън Република България застраховката за професионална отговорност следва да бъде еквивалентна на тази по чл. 171. ал. 1 от ЗУТ, съгласно законодателството на държавата, където е установен/регистриран участникът. Застрахователното покритие следва да съответства на обема и характера на поръчката, произтичащо от нормативен акт.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Удостоверяване: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При подаване на офертата обстоятелството се декларира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, Част IV: Критерии за подбор, раздел, Б. Икономическо и финансово състояние се посочват данни (застрахователна сума, уеб адрес, орган или служба, издаващи документа, точно позоваване на документа – №, дата на издаване, застраховано лице, вид на застрахованата дейност и срок на валидност) за наличие на валидна застраховка за „Професионална отговорност“ по чл. 171 ал. 1 от ЗУТ, при лимит на отговорността, съгласно чл. 5, ал. 2 от Наредбата за условията и реда за задължително застраховане в проектирането и строителството или еквивалентен документ /за чуждестранните лица/. Професионалната дейност от застрахователните полици трябва да отговаря на предмета на поръчката.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В хипотезата на чл. 67, ал. 5 от ЗОП възложителят може да изиска от участниците по всяко време да представят всички или част от документите, на които участникът се позовава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Доказване: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При сключване на договора, участникът избран за изпълнител, следва да представи заверено копие на валидна застрахователна полица или еквивалентна застраховка за професионална отговорност или гаранция в случай че участникът е установен в друга държава – членка на Европейския съюз, или в страна по Споразумението за Европейското икономическо пространство /за чуждестранните лица/, съобразно декларираното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, а в случай, че срокът на валидност на полицата изтича до датата на подписване на договора – и заверено копие на новата застрахователна полица.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В случай, че данните могат да бъдат осигурени чрез пряк и безплатен достъп до национална база данни при държавите членки, възложителят не изисква такъв документ при сключване на договора.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1. Относно изискването за реализиран минимален общ оборот: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Минимално ниво: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Участниците в обществената поръчка трябва през последните 3 (три) приключили финансови години, в зависимост от датата, на която са създадени или са започнали дейността да са реализирали минимален общ оборот в размер на 1 000 000,00 (един милион) лева, изчислен на база годишните обороти.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1. Относно изискването за наличие на застраховка: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Минимално ниво: Участникът да е застрахован с „Професионална отговорност“ за застрахователно събитие на стойност съобразно чл. 5, ал. 2, т. 4 от Наредбата за условията и реда за задължително застраховане в проектирането и строителството (най-малко за обекти от четвърта категория строежи).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III.1.3) Технически и професионални възможности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Критерии за подбор, както е указано в документацията за обществената поръчка: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Списък и кратко описание на критериите за подбор: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1. Изискване за наличие на опит: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Участникът следва да е изпълнил дейности с предмет, идентичен или сходен с предмета на поръчката през последните 5 (пет) години, считано от датата на подаване на офертата.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Удостоверяване: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При подаване на офертата обстоятелството се декларира в съответната част от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, Част IV: Критерии за подбор, раздел, В. Технически и професионални способности с посочване и описание на строително-монтажните дейности (предмета), стойността, датата, на която е приключило изпълнението, мястото, вида, както и дали е изпълнено в съответствие с нормативните изисквания.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В хипотезата на чл. 67, ал. 5 от ЗОП възложителят може да изиска от участниците по всяко време да представят всички или част от документите, на които участникът се позовава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Доказване: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При сключване на договора, участникът избран за изпълнител, следва да представи Списък на строителството, идентично или сходно с предмета на обществената поръчка, съобразно декларираното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, придружен с удостоверения за добро изпълнение, които съдържат стойността, датата, на която е приключило изпълнението, мястото, вида, както и дали е изпълнено в съответствие с нормативните изисквания.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2. Изискване за технически екип за изпълнение на поръчката: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Участникът трябва да разполага с технически екип за изпълнение на поръчката.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Удостоверяване: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При подаване на офертата, съответствие с изискването се декларира в т. 2 от Част IV, Раздел В „Технически и професионални способности“ от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 с посочване на информация за професионалната компетентност на лицата: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образованието или професионалната квалификация на предложените експерти – учебно заведение, където е придобито образованието или квалификацията, номер на документа, удостоверяващ придобитото образование или квалификация и период на обучение;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специфичния опит на експертите (когато се изисква) – посочва се организацията на възложителя/работодателя, при когото е придобит опита, наименование на длъжността/ описание на функцията на лицето в техническия екип при изпълнение на обекта, описание на обекта, за който лицето е упражнявало съответната функция.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В хипотезата на чл. 67, ал. 5 от ЗОП възложителят може да изиска от участниците по всяко време да представят всички или част от документите, на които участникът се позовава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Доказване: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При сключване на договора Възложителят изисква представянето на Списък на персонала, който ще изпълнява поръчката и на ръководния състав, който ще отговаря за изпълнението, в 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lastRenderedPageBreak/>
              <w:t xml:space="preserve">който е посочена професионалната компетентност на лицата, съобразно декларираните в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еЕЕДОП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 обстоятелства.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Изисквано минимално/ни ниво/а: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1. Относно изискването за наличие на опит: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Минимално ниво: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Участникът да е изпълнил строителни дейности с предмет, идентичен или сходен с предмета на поръчката за поне една сграда.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За „строителни дейности с предмет, идентичен или сходен с предмета на поръчката“ се приемат строителни дейности, свързани с изграждане и/или реконструкция, и/или ремонт на сграда.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2. Относно изискването за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технчески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 екип за изпълнение на поръчката: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Минимално ниво: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а) Технически ръководител: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да притежава степен на образование, отговарящо на изискванията на чл. 163а, ал. 2 от ЗУТ или еквивалентно;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да има опит като технически ръководител при изпълнение на дейности по изграждане и/или реконструкция, и/или ремонт на поне една сграда.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б) Длъжностно лице по безопасност и здраве: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да притежава степен на образование не по-ниска от средно специално или еквивалент;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да притежава валидно удостоверение или сертификат за преминато обучение като длъжностно лице по безопасност и здраве или еквивалентно.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в) Специалист по контрол върху качеството: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да притежава най-малко образователно-квалификационна степен „бакалавър” или еквивалент по строителна специалност;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- да притежава удостоверение или 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Забележка: При използването на експерти – чуждестранни лица, доказването на съответствие с поставените изисквания за образователно – квалификационна степен се удостоверява и с посочване на еквивалентни на изброените по-горе специалности. Прилагат се разпоредбите на Директива 2005/26/ЕО, както и условията и реда за признаване на професионални квалификации, придобити в други държави членки и в трети държави, с цел достъп и упражняване на регулирани професии в Република България. С Решение на Министерски съвет № 352 от 21.05.2015 г. е приет Първи национален план за действие по взаимна оценка на регулираните професии в държавите членки съгласно чл. 59 „Прозрачност“ от изменената Директива 2005/36/ЕО на Европейския парламент и на Съвета от 7 септември 2005 година относно признаването на професионалните квалификации.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Под „еквивалентна специалност” следва да се разбира, придобито образование или специалност приравнени към посочените. Приравнени са специалностите, при които учебната програма на специалността покрива най-малко 80 на сто от учебната програма на някоя от специалностите посочените по-горе. Под „еквивалентно образование” следва да се разбира специалност, получена в чуждестранно учебно заведение в еквивалентни на тези области специалности по смисъла на ПМС 125 от 24.06.2002 г. за утвърждаване Класификатор на областите на висше образование и професионалните направления. Под „еквивалентно обучение“ следва да се разбира обучение, проведено от чуждестранен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обучител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 на теми, еквивалентни на изискваните за съответните позиции.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ВАЖНО !!!!!!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Един експерт не може да съвместява повече от две позиции от изискуемия технически екип за изпълнение на поръчката.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III.1.5) Информация относно запазени поръчки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</w:tbl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III.2) Условия във връзка с поръчката </w:t>
      </w: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III.2.1) Информация относно определена професия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(само за поръчки за услуги)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Изпълненито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поръчката е ограничено до определена професия: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III.2.2) Условия за изпълнение на поръчката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Гаранцията за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изп-е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 на дог. е в р-р на 1 % от общата цена на договора за общ. поръчка без включен ДДС. Същата може да бъде представена в една от формите по чл. 111,ал. 5 от ЗОП. Допълнителна информация се съдържа в раздел 7 от документацията на общ. поръчка.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III.2.3) Информация относно персонала, който отговаря за изпълнението на поръчката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</w:rPr>
        <w:t> Раздел IV:Процедура </w:t>
      </w: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C81C8E" w:rsidRPr="00C81C8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81C8E" w:rsidRPr="00C81C8E" w:rsidRDefault="00C81C8E" w:rsidP="00C81C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C8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Ускорена процедура: </w:t>
                        </w:r>
                        <w:r w:rsidRPr="00C81C8E">
                          <w:rPr>
                            <w:rFonts w:ascii="Courier New" w:eastAsia="Times New Roman" w:hAnsi="Courier New" w:cs="Courier New"/>
                            <w:sz w:val="20"/>
                          </w:rPr>
                          <w:t>НЕ</w:t>
                        </w: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IV.1.3) Информация относно рамково 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споразмение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Тази обществена поръчка обхваща сключването на рамково споразумение: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Предвиден максимален брой участници в рамковото споразумение: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Динамичната система за покупки може да бъде използвана от допълнителни купувачи: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НЕ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IV.1.5) Информация относно договаряне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(само за състезателни процедури с договаряне)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IV.1.6) Информация относно електронния търг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използва електронен търг: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Допълнителна информация относно електронния търг: 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81C8E" w:rsidRPr="00C81C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1C8E" w:rsidRPr="00C81C8E" w:rsidRDefault="00C81C8E" w:rsidP="00C81C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81C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</w:p>
                    </w:tc>
                  </w:tr>
                </w:tbl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IV.2) Административна информация</w:t>
      </w: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IV.2.1) Предишна публикация относно тази процедура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на обявлението в ОВ на ЕС: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(Едно от следните: Обявление за предварителна информация; Обявление на профила на купувача)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 на обявлението в РОП: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Срок за получаване на оферти или на заявления за участие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09/05/2018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Местно време: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17:00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чч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:мм)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IV.2.3) Прогнозна дата на изпращане на покани за търг или за участие на избраните кандидати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    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IV.2.4) Езици, на които могат да бъдат подадени офертите или заявленията за участие: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BG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IV.2.6) Минимален срок, през който 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оферентът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 обвързан от офертата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 трябва да бъде валидна до: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Продължителност в месеци: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8</w:t>
            </w:r>
          </w:p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(от датата, която е посочена за дата на получаване на офертата)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IV.2.7) Условия за отваряне на офертите</w:t>
            </w:r>
          </w:p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10/05/2018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дд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/мм/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гггг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  Местно време: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11:00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чч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:мм)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Място: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Сградата на община Симеоновград, пл. Шейновски № 3, зала № 14, ет. 2.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относно упълномощените лица и процедурата на отваряне: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Заседанието по отваряне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      </w:r>
          </w:p>
        </w:tc>
      </w:tr>
    </w:tbl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</w:rPr>
        <w:t> Раздел VI: Допълнителна информация</w:t>
      </w:r>
    </w:p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 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представялява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C81C8E" w:rsidRPr="00C81C8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Прогнозни срокове за публикуването на следващи обявления: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Ще се прилага електронно поръчване: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 се използва електронно фактуриране: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 се приема електронно заплащане: </w:t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НЕ</w:t>
            </w:r>
          </w:p>
        </w:tc>
      </w:tr>
    </w:tbl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VI.3) Допълнителна информация </w:t>
      </w: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Courier New" w:eastAsia="Times New Roman" w:hAnsi="Courier New" w:cs="Courier New"/>
                <w:sz w:val="20"/>
              </w:rPr>
              <w:t>Продължение от раздел II.1.1. "Наименование на обществената поръчка":...„Зорница“ – гр. Симеоновград“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1. Възложителят отстранява от участие в процедурата участници, по отношение на които е налице някое от обстоятелствата по чл.54, ал.1 и чл.55 ал.1 от ЗОП, както и на основанията, посочени в чл. 107 от ЗОП.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2. Не могат да участват пряко и/или косвено дружества, регистрирани в юрисдикции с преференциален данъчен режим, както и контролираните от тях лица, включително и чрез гражданско дружество/консорциум, в което участва дружество, регистрирано в юрисдикция с преференциален данъчен режим, освен ако не са налице изключенията по чл. 4 от ЗИФОДРЮПДРКТЛТДС.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 xml:space="preserve">3. При участие на обединение, което не е самостоятелно ЮЛ, тогава участникът следва да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общ. поръчка: правата и задълженията на участниците в обединението; клауза за солидарна отговорност на лицата – участници в обединението, за задълженията по договора за обществена поръчка; видът и делът на дейностите, които ще изпълнява всеки от членовете на обединението. Документът следва да е подписан от лицата в обединението, като в него задължително се посочва представляващият обединението. Когато в договора не е посочено лицето, което представлява участниците в обединението, се представя и документ, подписан от лицата в обединението, в който се посочва представляващият. На </w:t>
            </w:r>
            <w:proofErr w:type="spellStart"/>
            <w:r w:rsidRPr="00C81C8E">
              <w:rPr>
                <w:rFonts w:ascii="Courier New" w:eastAsia="Times New Roman" w:hAnsi="Courier New" w:cs="Courier New"/>
                <w:sz w:val="20"/>
              </w:rPr>
              <w:t>осн</w:t>
            </w:r>
            <w:proofErr w:type="spellEnd"/>
            <w:r w:rsidRPr="00C81C8E">
              <w:rPr>
                <w:rFonts w:ascii="Courier New" w:eastAsia="Times New Roman" w:hAnsi="Courier New" w:cs="Courier New"/>
                <w:sz w:val="20"/>
              </w:rPr>
              <w:t>. чл.10,ал.2 от ЗОП Възложителят не предвижда изискване за създаване на ЮЛ, когато участникът, определен за изпълнител, е обединение.</w:t>
            </w:r>
          </w:p>
        </w:tc>
      </w:tr>
    </w:tbl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VI.4.1) Орган, който отговаря за процедурите по обжалване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C81C8E" w:rsidRPr="00C81C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Официално наименование: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Комисия за защита на конкуренцията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бул. Витоша № 18</w:t>
                  </w:r>
                </w:p>
              </w:tc>
            </w:tr>
            <w:tr w:rsidR="00C81C8E" w:rsidRPr="00C81C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България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+359 29884070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0" w:tgtFrame="_blank" w:history="1">
                    <w:r w:rsidRPr="00C81C8E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 </w:t>
                  </w:r>
                  <w:r w:rsidRPr="00C81C8E">
                    <w:rPr>
                      <w:rFonts w:ascii="Courier New" w:eastAsia="Times New Roman" w:hAnsi="Courier New" w:cs="Courier New"/>
                      <w:sz w:val="20"/>
                    </w:rPr>
                    <w:t>+359 29807315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VI.4.2) Орган, който отговаря за процедурите по медиация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C81C8E" w:rsidRPr="00C81C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</w:t>
                  </w:r>
                </w:p>
              </w:tc>
            </w:tr>
            <w:tr w:rsidR="00C81C8E" w:rsidRPr="00C81C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VI.4.3) Подаване на жалби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Точна информация относно краен срок/крайни срокове за подаване на жалби: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Жалба може да се подава в 10-дневен срок от: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1. изтичането на срока по чл. 179 от ЗОП - срещу решението за откриване на процедурата и/или решението за одобряване на обявлението за изменение или за допълнителна информация;</w:t>
            </w:r>
            <w:r w:rsidRPr="00C81C8E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C81C8E">
              <w:rPr>
                <w:rFonts w:ascii="Courier New" w:eastAsia="Times New Roman" w:hAnsi="Courier New" w:cs="Courier New"/>
                <w:sz w:val="20"/>
              </w:rPr>
              <w:t>2. в случаите по чл. 196, ал. 5 от ЗОП - уведомяване за съответното действие, а ако лицето не е уведомено - от датата, на която е изтекъл срокът за извършване на съответното действие.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VI.4.4) Служба, от която може да бъде получена информация относно подаването на жалби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81C8E" w:rsidRPr="00C81C8E" w:rsidTr="00C81C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C81C8E" w:rsidRPr="00C81C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Официално наименование: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адрес:</w:t>
                  </w:r>
                </w:p>
              </w:tc>
            </w:tr>
            <w:tr w:rsidR="00C81C8E" w:rsidRPr="00C81C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Държава: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C81C8E" w:rsidRPr="00C81C8E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 адрес: </w:t>
                  </w:r>
                  <w:r w:rsidRPr="00C81C8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81C8E" w:rsidRPr="00C81C8E" w:rsidRDefault="00C81C8E" w:rsidP="00C81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1C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</w:t>
                  </w:r>
                </w:p>
              </w:tc>
            </w:tr>
          </w:tbl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C8E" w:rsidRPr="00C81C8E" w:rsidRDefault="00C81C8E" w:rsidP="00C81C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b/>
          <w:bCs/>
          <w:color w:val="000000"/>
          <w:sz w:val="18"/>
        </w:rPr>
        <w:t>VI.5) Дата на изпращане на настоящото обявление: </w:t>
      </w:r>
      <w:r w:rsidRPr="00C81C8E">
        <w:rPr>
          <w:rFonts w:ascii="Courier New" w:eastAsia="Times New Roman" w:hAnsi="Courier New" w:cs="Courier New"/>
          <w:color w:val="000000"/>
          <w:sz w:val="20"/>
        </w:rPr>
        <w:t>11/04/2018</w:t>
      </w:r>
      <w:r w:rsidRPr="00C81C8E">
        <w:rPr>
          <w:rFonts w:ascii="Trebuchet MS" w:eastAsia="Times New Roman" w:hAnsi="Trebuchet MS" w:cs="Times New Roman"/>
          <w:color w:val="000000"/>
          <w:sz w:val="16"/>
        </w:rPr>
        <w:t> </w:t>
      </w:r>
      <w:r w:rsidRPr="00C81C8E">
        <w:rPr>
          <w:rFonts w:ascii="Trebuchet MS" w:eastAsia="Times New Roman" w:hAnsi="Trebuchet MS" w:cs="Times New Roman"/>
          <w:i/>
          <w:iCs/>
          <w:color w:val="000000"/>
          <w:sz w:val="16"/>
        </w:rPr>
        <w:t>(</w:t>
      </w:r>
      <w:proofErr w:type="spellStart"/>
      <w:r w:rsidRPr="00C81C8E">
        <w:rPr>
          <w:rFonts w:ascii="Trebuchet MS" w:eastAsia="Times New Roman" w:hAnsi="Trebuchet MS" w:cs="Times New Roman"/>
          <w:i/>
          <w:iCs/>
          <w:color w:val="000000"/>
          <w:sz w:val="16"/>
        </w:rPr>
        <w:t>дд</w:t>
      </w:r>
      <w:proofErr w:type="spellEnd"/>
      <w:r w:rsidRPr="00C81C8E">
        <w:rPr>
          <w:rFonts w:ascii="Trebuchet MS" w:eastAsia="Times New Roman" w:hAnsi="Trebuchet MS" w:cs="Times New Roman"/>
          <w:i/>
          <w:iCs/>
          <w:color w:val="000000"/>
          <w:sz w:val="16"/>
        </w:rPr>
        <w:t>/мм/</w:t>
      </w:r>
      <w:proofErr w:type="spellStart"/>
      <w:r w:rsidRPr="00C81C8E">
        <w:rPr>
          <w:rFonts w:ascii="Trebuchet MS" w:eastAsia="Times New Roman" w:hAnsi="Trebuchet MS" w:cs="Times New Roman"/>
          <w:i/>
          <w:iCs/>
          <w:color w:val="000000"/>
          <w:sz w:val="16"/>
        </w:rPr>
        <w:t>гггг</w:t>
      </w:r>
      <w:proofErr w:type="spellEnd"/>
      <w:r w:rsidRPr="00C81C8E">
        <w:rPr>
          <w:rFonts w:ascii="Trebuchet MS" w:eastAsia="Times New Roman" w:hAnsi="Trebuchet MS" w:cs="Times New Roman"/>
          <w:i/>
          <w:iCs/>
          <w:color w:val="000000"/>
          <w:sz w:val="16"/>
        </w:rPr>
        <w:t>)</w:t>
      </w:r>
    </w:p>
    <w:p w:rsidR="00C81C8E" w:rsidRPr="00C81C8E" w:rsidRDefault="00C81C8E" w:rsidP="00C81C8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i/>
          <w:iCs/>
          <w:color w:val="000000"/>
          <w:sz w:val="16"/>
          <w:szCs w:val="16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C81C8E" w:rsidRPr="00C81C8E" w:rsidRDefault="00C81C8E" w:rsidP="00C81C8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C81C8E">
        <w:rPr>
          <w:rFonts w:ascii="Trebuchet MS" w:eastAsia="Times New Roman" w:hAnsi="Trebuchet MS" w:cs="Times New Roman"/>
          <w:color w:val="00000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приложимите случаи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тази информация е известна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доколкото информацията е вече известна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която не се публикува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по избор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се отнася до квалификационна система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участите</w:t>
            </w:r>
            <w:proofErr w:type="spellEnd"/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задължителна информация, ако това е обявление за възлагане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 ако обявлението не се отнася до квалификационна система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ако обявлението има за цел намаляване на срока за получаване на оферти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</w:t>
            </w:r>
          </w:p>
        </w:tc>
      </w:tr>
      <w:tr w:rsidR="00C81C8E" w:rsidRPr="00C81C8E" w:rsidTr="00C81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1C8E" w:rsidRPr="00C81C8E" w:rsidRDefault="00C81C8E" w:rsidP="00C8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913B90" w:rsidRDefault="00913B90"/>
    <w:sectPr w:rsidR="0091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1C8E"/>
    <w:rsid w:val="00913B90"/>
    <w:rsid w:val="00C8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1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putvalue">
    <w:name w:val="input_value"/>
    <w:basedOn w:val="a0"/>
    <w:rsid w:val="00C81C8E"/>
  </w:style>
  <w:style w:type="character" w:customStyle="1" w:styleId="inputlabel">
    <w:name w:val="input_label"/>
    <w:basedOn w:val="a0"/>
    <w:rsid w:val="00C81C8E"/>
  </w:style>
  <w:style w:type="character" w:styleId="a3">
    <w:name w:val="Hyperlink"/>
    <w:basedOn w:val="a0"/>
    <w:uiPriority w:val="99"/>
    <w:semiHidden/>
    <w:unhideWhenUsed/>
    <w:rsid w:val="00C81C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edcontroltitle">
    <w:name w:val="boxed_control_title"/>
    <w:basedOn w:val="a0"/>
    <w:rsid w:val="00C81C8E"/>
  </w:style>
  <w:style w:type="paragraph" w:styleId="a5">
    <w:name w:val="Balloon Text"/>
    <w:basedOn w:val="a"/>
    <w:link w:val="a6"/>
    <w:uiPriority w:val="99"/>
    <w:semiHidden/>
    <w:unhideWhenUsed/>
    <w:rsid w:val="00C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535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850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profilebuyer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4106</Words>
  <Characters>23408</Characters>
  <Application>Microsoft Office Word</Application>
  <DocSecurity>0</DocSecurity>
  <Lines>195</Lines>
  <Paragraphs>54</Paragraphs>
  <ScaleCrop>false</ScaleCrop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2018-04-11T08:05:00Z</dcterms:created>
  <dcterms:modified xsi:type="dcterms:W3CDTF">2018-04-11T08:05:00Z</dcterms:modified>
</cp:coreProperties>
</file>